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adjustRightInd w:val="0"/>
        <w:snapToGrid w:val="0"/>
        <w:jc w:val="center"/>
        <w:outlineLvl w:val="0"/>
        <w:rPr>
          <w:rFonts w:hint="default" w:ascii="Times New Roman" w:hAnsi="Times New Roman" w:eastAsia="黑体" w:cs="Times New Roman"/>
          <w:b w:val="0"/>
          <w:bCs/>
          <w:color w:val="auto"/>
          <w:sz w:val="72"/>
          <w:szCs w:val="72"/>
          <w:highlight w:val="none"/>
        </w:rPr>
      </w:pPr>
      <w:r>
        <w:rPr>
          <w:rFonts w:hint="default" w:ascii="Times New Roman" w:hAnsi="Times New Roman" w:eastAsia="黑体" w:cs="Times New Roman"/>
          <w:b w:val="0"/>
          <w:bCs/>
          <w:color w:val="auto"/>
          <w:sz w:val="72"/>
          <w:szCs w:val="72"/>
          <w:highlight w:val="none"/>
        </w:rPr>
        <w:t>建设项目环境影响报告表</w:t>
      </w:r>
    </w:p>
    <w:p>
      <w:pPr>
        <w:adjustRightInd w:val="0"/>
        <w:snapToGrid w:val="0"/>
        <w:spacing w:before="192" w:beforeLines="80"/>
        <w:jc w:val="center"/>
        <w:rPr>
          <w:rFonts w:hint="default" w:ascii="Times New Roman" w:hAnsi="Times New Roman" w:eastAsia="黑体" w:cs="Times New Roman"/>
          <w:b w:val="0"/>
          <w:bCs/>
          <w:color w:val="auto"/>
          <w:sz w:val="48"/>
          <w:szCs w:val="48"/>
          <w:highlight w:val="none"/>
        </w:rPr>
      </w:pPr>
      <w:r>
        <w:rPr>
          <w:rFonts w:hint="default" w:ascii="Times New Roman" w:hAnsi="Times New Roman" w:eastAsia="黑体" w:cs="Times New Roman"/>
          <w:b w:val="0"/>
          <w:bCs/>
          <w:color w:val="auto"/>
          <w:sz w:val="48"/>
          <w:szCs w:val="48"/>
          <w:highlight w:val="none"/>
        </w:rPr>
        <w:t>（污染影响类）</w:t>
      </w:r>
    </w:p>
    <w:p>
      <w:pPr>
        <w:bidi w:val="0"/>
        <w:rPr>
          <w:rFonts w:hint="default" w:ascii="Times New Roman" w:hAnsi="Times New Roman" w:eastAsia="宋体" w:cs="Times New Roman"/>
          <w:color w:val="auto"/>
          <w:highlight w:val="none"/>
        </w:rPr>
      </w:pPr>
    </w:p>
    <w:p>
      <w:pPr>
        <w:jc w:val="center"/>
        <w:rPr>
          <w:rFonts w:hint="default" w:ascii="Times New Roman" w:hAnsi="Times New Roman" w:eastAsia="宋体" w:cs="Times New Roman"/>
          <w:color w:val="auto"/>
          <w:sz w:val="52"/>
          <w:szCs w:val="52"/>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color w:val="auto"/>
          <w:sz w:val="44"/>
          <w:szCs w:val="44"/>
          <w:highlight w:val="none"/>
        </w:rPr>
      </w:pPr>
    </w:p>
    <w:p>
      <w:pPr>
        <w:ind w:firstLine="1040"/>
        <w:rPr>
          <w:rFonts w:hint="default" w:ascii="Times New Roman" w:hAnsi="Times New Roman" w:eastAsia="宋体" w:cs="Times New Roman"/>
          <w:b w:val="0"/>
          <w:bCs w:val="0"/>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2338" w:leftChars="342" w:hanging="1620" w:hangingChars="450"/>
        <w:jc w:val="both"/>
        <w:textAlignment w:val="auto"/>
        <w:rPr>
          <w:rFonts w:hint="default" w:ascii="Times New Roman" w:hAnsi="Times New Roman" w:eastAsia="宋体" w:cs="Times New Roman"/>
          <w:b w:val="0"/>
          <w:bCs w:val="0"/>
          <w:color w:val="auto"/>
          <w:sz w:val="36"/>
          <w:szCs w:val="36"/>
          <w:highlight w:val="none"/>
          <w:u w:val="single"/>
          <w:lang w:val="en-US" w:eastAsia="zh-CN"/>
        </w:rPr>
      </w:pPr>
      <w:r>
        <w:rPr>
          <w:rFonts w:hint="default" w:ascii="Times New Roman" w:hAnsi="Times New Roman" w:eastAsia="宋体" w:cs="Times New Roman"/>
          <w:b w:val="0"/>
          <w:bCs w:val="0"/>
          <w:color w:val="auto"/>
          <w:sz w:val="36"/>
          <w:szCs w:val="36"/>
          <w:highlight w:val="none"/>
        </w:rPr>
        <w:t>项目名称：</w:t>
      </w:r>
      <w:r>
        <w:rPr>
          <w:rFonts w:hint="eastAsia" w:cs="Times New Roman"/>
          <w:b w:val="0"/>
          <w:bCs w:val="0"/>
          <w:color w:val="auto"/>
          <w:sz w:val="36"/>
          <w:szCs w:val="36"/>
          <w:highlight w:val="none"/>
          <w:u w:val="single"/>
          <w:lang w:val="en-US" w:eastAsia="zh-CN"/>
        </w:rPr>
        <w:t>联塑（苏州）精密工程有限公司医疗零件注塑和装配二期技术改造项目</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宋体" w:cs="Times New Roman"/>
          <w:b w:val="0"/>
          <w:bCs w:val="0"/>
          <w:color w:val="auto"/>
          <w:sz w:val="36"/>
          <w:szCs w:val="36"/>
          <w:highlight w:val="none"/>
          <w:lang w:val="en-US" w:eastAsia="zh-CN"/>
        </w:rPr>
      </w:pPr>
      <w:r>
        <w:rPr>
          <w:rFonts w:hint="default" w:ascii="Times New Roman" w:hAnsi="Times New Roman" w:eastAsia="宋体" w:cs="Times New Roman"/>
          <w:b w:val="0"/>
          <w:bCs w:val="0"/>
          <w:color w:val="auto"/>
          <w:sz w:val="36"/>
          <w:szCs w:val="36"/>
          <w:highlight w:val="none"/>
        </w:rPr>
        <w:t>建设单位（盖章）：</w:t>
      </w:r>
      <w:r>
        <w:rPr>
          <w:rFonts w:hint="default" w:ascii="Times New Roman" w:hAnsi="Times New Roman" w:eastAsia="宋体" w:cs="Times New Roman"/>
          <w:b w:val="0"/>
          <w:bCs w:val="0"/>
          <w:color w:val="auto"/>
          <w:sz w:val="36"/>
          <w:szCs w:val="36"/>
          <w:highlight w:val="none"/>
          <w:u w:val="single"/>
          <w:lang w:val="en-US" w:eastAsia="zh-CN"/>
        </w:rPr>
        <w:t>联塑</w:t>
      </w:r>
      <w:r>
        <w:rPr>
          <w:rFonts w:hint="default" w:ascii="Times New Roman" w:hAnsi="Times New Roman" w:eastAsia="宋体" w:cs="Times New Roman"/>
          <w:b w:val="0"/>
          <w:bCs w:val="0"/>
          <w:color w:val="auto"/>
          <w:sz w:val="36"/>
          <w:szCs w:val="36"/>
          <w:highlight w:val="none"/>
          <w:u w:val="single"/>
        </w:rPr>
        <w:t>（苏州）</w:t>
      </w:r>
      <w:r>
        <w:rPr>
          <w:rFonts w:hint="default" w:ascii="Times New Roman" w:hAnsi="Times New Roman" w:eastAsia="宋体" w:cs="Times New Roman"/>
          <w:b w:val="0"/>
          <w:bCs w:val="0"/>
          <w:color w:val="auto"/>
          <w:sz w:val="36"/>
          <w:szCs w:val="36"/>
          <w:highlight w:val="none"/>
          <w:u w:val="single"/>
          <w:lang w:val="en-US" w:eastAsia="zh-CN"/>
        </w:rPr>
        <w:t>精密工程</w:t>
      </w:r>
      <w:r>
        <w:rPr>
          <w:rFonts w:hint="default" w:ascii="Times New Roman" w:hAnsi="Times New Roman" w:eastAsia="宋体" w:cs="Times New Roman"/>
          <w:b w:val="0"/>
          <w:bCs w:val="0"/>
          <w:color w:val="auto"/>
          <w:sz w:val="36"/>
          <w:szCs w:val="36"/>
          <w:highlight w:val="none"/>
          <w:u w:val="single"/>
        </w:rPr>
        <w:t>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both"/>
        <w:textAlignment w:val="auto"/>
        <w:rPr>
          <w:rFonts w:hint="default" w:ascii="Times New Roman" w:hAnsi="Times New Roman" w:eastAsia="宋体" w:cs="Times New Roman"/>
          <w:b w:val="0"/>
          <w:bCs w:val="0"/>
          <w:color w:val="auto"/>
          <w:sz w:val="36"/>
          <w:szCs w:val="36"/>
          <w:highlight w:val="none"/>
          <w:u w:val="single"/>
          <w:lang w:val="en-US" w:eastAsia="zh-CN"/>
        </w:rPr>
      </w:pPr>
      <w:r>
        <w:rPr>
          <w:rFonts w:hint="default" w:ascii="Times New Roman" w:hAnsi="Times New Roman" w:eastAsia="宋体" w:cs="Times New Roman"/>
          <w:b w:val="0"/>
          <w:bCs w:val="0"/>
          <w:color w:val="auto"/>
          <w:sz w:val="36"/>
          <w:szCs w:val="36"/>
          <w:highlight w:val="none"/>
        </w:rPr>
        <w:t>编制日期：</w:t>
      </w:r>
      <w:r>
        <w:rPr>
          <w:rFonts w:hint="default" w:ascii="Times New Roman" w:hAnsi="Times New Roman" w:eastAsia="宋体" w:cs="Times New Roman"/>
          <w:b w:val="0"/>
          <w:bCs w:val="0"/>
          <w:color w:val="auto"/>
          <w:sz w:val="36"/>
          <w:szCs w:val="36"/>
          <w:highlight w:val="none"/>
          <w:u w:val="single"/>
          <w:lang w:val="en-US" w:eastAsia="zh-CN"/>
        </w:rPr>
        <w:t xml:space="preserve">            </w:t>
      </w:r>
      <w:r>
        <w:rPr>
          <w:rFonts w:hint="default" w:ascii="Times New Roman" w:hAnsi="Times New Roman" w:eastAsia="宋体" w:cs="Times New Roman"/>
          <w:b w:val="0"/>
          <w:bCs w:val="0"/>
          <w:color w:val="auto"/>
          <w:sz w:val="36"/>
          <w:szCs w:val="36"/>
          <w:highlight w:val="none"/>
          <w:u w:val="single"/>
        </w:rPr>
        <w:t>2021年</w:t>
      </w:r>
      <w:r>
        <w:rPr>
          <w:rFonts w:hint="eastAsia" w:cs="Times New Roman"/>
          <w:b w:val="0"/>
          <w:bCs w:val="0"/>
          <w:color w:val="auto"/>
          <w:sz w:val="36"/>
          <w:szCs w:val="36"/>
          <w:highlight w:val="none"/>
          <w:u w:val="single"/>
          <w:lang w:val="en-US" w:eastAsia="zh-CN"/>
        </w:rPr>
        <w:t>11</w:t>
      </w:r>
      <w:r>
        <w:rPr>
          <w:rFonts w:hint="default" w:ascii="Times New Roman" w:hAnsi="Times New Roman" w:eastAsia="宋体" w:cs="Times New Roman"/>
          <w:b w:val="0"/>
          <w:bCs w:val="0"/>
          <w:color w:val="auto"/>
          <w:sz w:val="36"/>
          <w:szCs w:val="36"/>
          <w:highlight w:val="none"/>
          <w:u w:val="single"/>
        </w:rPr>
        <w:t>月</w:t>
      </w:r>
      <w:r>
        <w:rPr>
          <w:rFonts w:hint="default" w:ascii="Times New Roman" w:hAnsi="Times New Roman" w:eastAsia="宋体" w:cs="Times New Roman"/>
          <w:b w:val="0"/>
          <w:bCs w:val="0"/>
          <w:color w:val="auto"/>
          <w:sz w:val="36"/>
          <w:szCs w:val="36"/>
          <w:highlight w:val="none"/>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0" w:name="_Hlk57884087"/>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0"/>
    <w:p>
      <w:pPr>
        <w:adjustRightInd w:val="0"/>
        <w:snapToGrid w:val="0"/>
        <w:spacing w:line="288" w:lineRule="auto"/>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中华人民共和国生态环境部制</w:t>
      </w:r>
    </w:p>
    <w:p>
      <w:pPr>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36"/>
          <w:szCs w:val="36"/>
          <w:highlight w:val="none"/>
        </w:rPr>
        <w:br w:type="page"/>
      </w:r>
    </w:p>
    <w:p>
      <w:pPr>
        <w:pStyle w:val="23"/>
        <w:rPr>
          <w:rFonts w:hint="default"/>
        </w:rPr>
      </w:pPr>
    </w:p>
    <w:p>
      <w:pPr>
        <w:pStyle w:val="23"/>
        <w:rPr>
          <w:rFonts w:hint="default"/>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4"/>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29"/>
        <w:gridCol w:w="2290"/>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7141" w:type="dxa"/>
            <w:gridSpan w:val="3"/>
            <w:noWrap w:val="0"/>
            <w:vAlign w:val="center"/>
          </w:tcPr>
          <w:p>
            <w:pPr>
              <w:adjustRightInd w:val="0"/>
              <w:snapToGrid w:val="0"/>
              <w:jc w:val="center"/>
              <w:rPr>
                <w:rFonts w:ascii="宋体" w:hAnsi="宋体" w:cs="宋体"/>
                <w:szCs w:val="21"/>
              </w:rPr>
            </w:pPr>
            <w:r>
              <w:rPr>
                <w:rFonts w:hint="eastAsia" w:cs="Times New Roman"/>
                <w:szCs w:val="24"/>
                <w:lang w:val="en-US" w:eastAsia="zh-CN"/>
              </w:rPr>
              <w:t>联塑（苏州）精密工程有限公司医疗零件注塑和装配二期技术改造项目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7141" w:type="dxa"/>
            <w:gridSpan w:val="3"/>
            <w:noWrap w:val="0"/>
            <w:vAlign w:val="center"/>
          </w:tcPr>
          <w:p>
            <w:pPr>
              <w:adjustRightInd w:val="0"/>
              <w:snapToGrid w:val="0"/>
              <w:jc w:val="center"/>
              <w:rPr>
                <w:rFonts w:ascii="宋体" w:hAnsi="宋体" w:cs="宋体"/>
                <w:szCs w:val="21"/>
              </w:rPr>
            </w:pPr>
            <w:r>
              <w:rPr>
                <w:rFonts w:hint="default" w:ascii="Times New Roman" w:hAnsi="Times New Roman" w:eastAsia="宋体" w:cs="宋体"/>
                <w:color w:val="000000"/>
                <w:kern w:val="2"/>
                <w:sz w:val="21"/>
                <w:szCs w:val="21"/>
                <w:shd w:val="clear" w:color="auto" w:fill="auto"/>
                <w:lang w:val="en-US" w:eastAsia="zh-CN" w:bidi="ar-SA"/>
              </w:rPr>
              <w:t>2105-320571-89-02-212017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2290" w:type="dxa"/>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王越</w:t>
            </w:r>
          </w:p>
        </w:tc>
        <w:tc>
          <w:tcPr>
            <w:tcW w:w="2212" w:type="dxa"/>
            <w:noWrap w:val="0"/>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联系方式</w:t>
            </w:r>
          </w:p>
        </w:tc>
        <w:tc>
          <w:tcPr>
            <w:tcW w:w="2639" w:type="dxa"/>
            <w:noWrap w:val="0"/>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18021625832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7141" w:type="dxa"/>
            <w:gridSpan w:val="3"/>
            <w:noWrap w:val="0"/>
            <w:vAlign w:val="center"/>
          </w:tcPr>
          <w:p>
            <w:pPr>
              <w:adjustRightInd w:val="0"/>
              <w:snapToGrid w:val="0"/>
              <w:jc w:val="center"/>
              <w:rPr>
                <w:rFonts w:ascii="宋体" w:hAnsi="宋体" w:cs="宋体"/>
                <w:szCs w:val="21"/>
              </w:rPr>
            </w:pPr>
            <w:r>
              <w:rPr>
                <w:rFonts w:hint="default" w:ascii="Times New Roman" w:hAnsi="Times New Roman" w:eastAsia="宋体" w:cs="Times New Roman"/>
                <w:sz w:val="21"/>
                <w:szCs w:val="21"/>
                <w:highlight w:val="none"/>
                <w:u w:val="single"/>
              </w:rPr>
              <w:t xml:space="preserve">  </w:t>
            </w:r>
            <w:r>
              <w:rPr>
                <w:rFonts w:hint="default" w:ascii="Times New Roman" w:hAnsi="Times New Roman" w:eastAsia="宋体" w:cs="Times New Roman"/>
                <w:sz w:val="21"/>
                <w:szCs w:val="21"/>
                <w:highlight w:val="none"/>
                <w:u w:val="single"/>
                <w:lang w:val="en-US" w:eastAsia="zh-CN"/>
              </w:rPr>
              <w:t>江苏</w:t>
            </w:r>
            <w:r>
              <w:rPr>
                <w:rFonts w:hint="default" w:ascii="Times New Roman" w:hAnsi="Times New Roman" w:eastAsia="宋体" w:cs="Times New Roman"/>
                <w:sz w:val="21"/>
                <w:szCs w:val="21"/>
                <w:highlight w:val="none"/>
                <w:u w:val="single"/>
              </w:rPr>
              <w:t xml:space="preserve">  </w:t>
            </w:r>
            <w:r>
              <w:rPr>
                <w:rFonts w:hint="default" w:ascii="Times New Roman" w:hAnsi="Times New Roman" w:eastAsia="宋体" w:cs="Times New Roman"/>
                <w:sz w:val="21"/>
                <w:szCs w:val="21"/>
                <w:highlight w:val="none"/>
              </w:rPr>
              <w:t>省（自治区）</w:t>
            </w:r>
            <w:r>
              <w:rPr>
                <w:rFonts w:hint="default" w:ascii="Times New Roman" w:hAnsi="Times New Roman" w:eastAsia="宋体" w:cs="Times New Roman"/>
                <w:sz w:val="21"/>
                <w:szCs w:val="21"/>
                <w:highlight w:val="none"/>
                <w:u w:val="single"/>
              </w:rPr>
              <w:t xml:space="preserve"> </w:t>
            </w:r>
            <w:r>
              <w:rPr>
                <w:rFonts w:hint="default" w:ascii="Times New Roman" w:hAnsi="Times New Roman" w:eastAsia="宋体" w:cs="Times New Roman"/>
                <w:sz w:val="21"/>
                <w:szCs w:val="21"/>
                <w:highlight w:val="none"/>
                <w:u w:val="single"/>
                <w:lang w:val="en-US" w:eastAsia="zh-CN"/>
              </w:rPr>
              <w:t>苏州</w:t>
            </w:r>
            <w:r>
              <w:rPr>
                <w:rFonts w:hint="default" w:ascii="Times New Roman" w:hAnsi="Times New Roman" w:eastAsia="宋体" w:cs="Times New Roman"/>
                <w:sz w:val="21"/>
                <w:szCs w:val="21"/>
                <w:highlight w:val="none"/>
                <w:u w:val="single"/>
              </w:rPr>
              <w:t xml:space="preserve">   </w:t>
            </w:r>
            <w:r>
              <w:rPr>
                <w:rFonts w:hint="default" w:ascii="Times New Roman" w:hAnsi="Times New Roman" w:eastAsia="宋体" w:cs="Times New Roman"/>
                <w:sz w:val="21"/>
                <w:szCs w:val="21"/>
                <w:highlight w:val="none"/>
              </w:rPr>
              <w:t>市</w:t>
            </w:r>
            <w:r>
              <w:rPr>
                <w:rFonts w:hint="default" w:ascii="Times New Roman" w:hAnsi="Times New Roman" w:eastAsia="宋体" w:cs="Times New Roman"/>
                <w:sz w:val="21"/>
                <w:szCs w:val="21"/>
                <w:highlight w:val="none"/>
                <w:u w:val="single"/>
              </w:rPr>
              <w:t xml:space="preserve"> </w:t>
            </w:r>
            <w:r>
              <w:rPr>
                <w:rFonts w:hint="default" w:ascii="Times New Roman" w:hAnsi="Times New Roman" w:eastAsia="宋体" w:cs="Times New Roman"/>
                <w:sz w:val="21"/>
                <w:szCs w:val="21"/>
                <w:highlight w:val="none"/>
                <w:u w:val="single"/>
                <w:lang w:val="en-US" w:eastAsia="zh-CN"/>
              </w:rPr>
              <w:t>工业园区</w:t>
            </w:r>
            <w:r>
              <w:rPr>
                <w:rFonts w:hint="default" w:ascii="Times New Roman" w:hAnsi="Times New Roman" w:eastAsia="宋体" w:cs="Times New Roman"/>
                <w:sz w:val="21"/>
                <w:szCs w:val="21"/>
                <w:highlight w:val="none"/>
                <w:u w:val="single"/>
              </w:rPr>
              <w:t xml:space="preserve">   </w:t>
            </w:r>
            <w:r>
              <w:rPr>
                <w:rFonts w:hint="default" w:ascii="Times New Roman" w:hAnsi="Times New Roman" w:eastAsia="宋体" w:cs="Times New Roman"/>
                <w:sz w:val="21"/>
                <w:szCs w:val="21"/>
                <w:highlight w:val="none"/>
              </w:rPr>
              <w:t>县（区）</w:t>
            </w:r>
            <w:r>
              <w:rPr>
                <w:rFonts w:hint="eastAsia" w:ascii="宋体" w:hAnsi="宋体" w:cs="宋体"/>
                <w:szCs w:val="21"/>
                <w:u w:val="none"/>
                <w:lang w:val="en-US" w:eastAsia="zh-CN"/>
              </w:rPr>
              <w:t>星海</w:t>
            </w:r>
            <w:r>
              <w:rPr>
                <w:rFonts w:hint="eastAsia" w:ascii="宋体" w:hAnsi="宋体" w:cs="宋体"/>
                <w:szCs w:val="21"/>
              </w:rPr>
              <w:t>街</w:t>
            </w:r>
            <w:r>
              <w:rPr>
                <w:rFonts w:hint="default" w:ascii="Times New Roman" w:hAnsi="Times New Roman" w:cs="Times New Roman"/>
                <w:szCs w:val="21"/>
                <w:lang w:val="en-US" w:eastAsia="zh-CN"/>
              </w:rPr>
              <w:t>220</w:t>
            </w:r>
            <w:r>
              <w:rPr>
                <w:rFonts w:hint="default" w:ascii="Times New Roman" w:hAnsi="Times New Roman" w:cs="Times New Roman"/>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7141"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u w:val="single"/>
                <w:lang w:val="en-US" w:eastAsia="zh-CN"/>
              </w:rPr>
              <w:t>120</w:t>
            </w:r>
            <w:r>
              <w:rPr>
                <w:rFonts w:hint="default" w:ascii="Times New Roman" w:hAnsi="Times New Roman" w:cs="Times New Roman"/>
                <w:szCs w:val="21"/>
              </w:rPr>
              <w:t>度</w:t>
            </w:r>
            <w:r>
              <w:rPr>
                <w:rFonts w:hint="default" w:ascii="Times New Roman" w:hAnsi="Times New Roman" w:cs="Times New Roman"/>
                <w:szCs w:val="21"/>
                <w:u w:val="single"/>
                <w:lang w:val="en-US" w:eastAsia="zh-CN"/>
              </w:rPr>
              <w:t>39</w:t>
            </w:r>
            <w:r>
              <w:rPr>
                <w:rFonts w:hint="default" w:ascii="Times New Roman" w:hAnsi="Times New Roman" w:cs="Times New Roman"/>
                <w:szCs w:val="21"/>
              </w:rPr>
              <w:t>分</w:t>
            </w:r>
            <w:r>
              <w:rPr>
                <w:rFonts w:hint="default" w:ascii="Times New Roman" w:hAnsi="Times New Roman" w:cs="Times New Roman"/>
                <w:szCs w:val="21"/>
                <w:u w:val="single"/>
                <w:lang w:val="en-US" w:eastAsia="zh-CN"/>
              </w:rPr>
              <w:t>56.614</w:t>
            </w:r>
            <w:r>
              <w:rPr>
                <w:rFonts w:hint="default" w:ascii="Times New Roman" w:hAnsi="Times New Roman" w:cs="Times New Roman"/>
                <w:szCs w:val="21"/>
              </w:rPr>
              <w:t>秒，</w:t>
            </w:r>
            <w:r>
              <w:rPr>
                <w:rFonts w:hint="default" w:ascii="Times New Roman" w:hAnsi="Times New Roman" w:cs="Times New Roman"/>
                <w:szCs w:val="21"/>
                <w:u w:val="single"/>
                <w:lang w:val="en-US" w:eastAsia="zh-CN"/>
              </w:rPr>
              <w:t>31</w:t>
            </w:r>
            <w:r>
              <w:rPr>
                <w:rFonts w:hint="default" w:ascii="Times New Roman" w:hAnsi="Times New Roman" w:cs="Times New Roman"/>
                <w:szCs w:val="21"/>
              </w:rPr>
              <w:t>度</w:t>
            </w:r>
            <w:r>
              <w:rPr>
                <w:rFonts w:hint="default" w:ascii="Times New Roman" w:hAnsi="Times New Roman" w:cs="Times New Roman"/>
                <w:szCs w:val="21"/>
                <w:u w:val="single"/>
                <w:lang w:val="en-US" w:eastAsia="zh-CN"/>
              </w:rPr>
              <w:t>19</w:t>
            </w:r>
            <w:r>
              <w:rPr>
                <w:rFonts w:hint="default" w:ascii="Times New Roman" w:hAnsi="Times New Roman" w:cs="Times New Roman"/>
                <w:szCs w:val="21"/>
              </w:rPr>
              <w:t>分</w:t>
            </w:r>
            <w:r>
              <w:rPr>
                <w:rFonts w:hint="default" w:ascii="Times New Roman" w:hAnsi="Times New Roman" w:cs="Times New Roman"/>
                <w:szCs w:val="21"/>
                <w:u w:val="single"/>
                <w:lang w:val="en-US" w:eastAsia="zh-CN"/>
              </w:rPr>
              <w:t>38.209</w:t>
            </w:r>
            <w:r>
              <w:rPr>
                <w:rFonts w:hint="default" w:ascii="Times New Roman" w:hAnsi="Times New Roman" w:cs="Times New Roman"/>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国民经济</w:t>
            </w:r>
          </w:p>
          <w:p>
            <w:pPr>
              <w:adjustRightInd w:val="0"/>
              <w:snapToGrid w:val="0"/>
              <w:jc w:val="center"/>
              <w:rPr>
                <w:rFonts w:ascii="宋体" w:hAnsi="宋体" w:cs="宋体"/>
                <w:szCs w:val="21"/>
              </w:rPr>
            </w:pPr>
            <w:r>
              <w:rPr>
                <w:rFonts w:hint="eastAsia" w:ascii="宋体" w:hAnsi="宋体" w:cs="宋体"/>
                <w:szCs w:val="21"/>
              </w:rPr>
              <w:t>行业类别</w:t>
            </w:r>
          </w:p>
        </w:tc>
        <w:tc>
          <w:tcPr>
            <w:tcW w:w="2290" w:type="dxa"/>
            <w:noWrap w:val="0"/>
            <w:vAlign w:val="center"/>
          </w:tcPr>
          <w:p>
            <w:pPr>
              <w:adjustRightInd w:val="0"/>
              <w:snapToGrid w:val="0"/>
              <w:jc w:val="center"/>
              <w:rPr>
                <w:rFonts w:hint="default" w:eastAsia="宋体"/>
                <w:lang w:val="en-US" w:eastAsia="zh-CN"/>
              </w:rPr>
            </w:pPr>
            <w:r>
              <w:rPr>
                <w:rFonts w:hint="default"/>
              </w:rPr>
              <w:t>C2929 塑料零件及其他塑料制品制造</w:t>
            </w:r>
          </w:p>
        </w:tc>
        <w:tc>
          <w:tcPr>
            <w:tcW w:w="2212" w:type="dxa"/>
            <w:noWrap w:val="0"/>
            <w:vAlign w:val="center"/>
          </w:tcPr>
          <w:p>
            <w:pPr>
              <w:adjustRightInd w:val="0"/>
              <w:snapToGrid w:val="0"/>
              <w:jc w:val="center"/>
              <w:rPr>
                <w:rFonts w:hint="default" w:ascii="Times New Roman" w:hAnsi="Times New Roman" w:cs="Times New Roman"/>
                <w:szCs w:val="21"/>
              </w:rPr>
            </w:pPr>
            <w:bookmarkStart w:id="1" w:name="_Hlk49843745"/>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1"/>
          </w:p>
        </w:tc>
        <w:tc>
          <w:tcPr>
            <w:tcW w:w="2639" w:type="dxa"/>
            <w:noWrap w:val="0"/>
            <w:vAlign w:val="center"/>
          </w:tcPr>
          <w:p>
            <w:pPr>
              <w:pStyle w:val="6"/>
              <w:rPr>
                <w:rFonts w:hint="default"/>
                <w:lang w:val="en-US"/>
              </w:rPr>
            </w:pPr>
            <w:r>
              <w:rPr>
                <w:rFonts w:hint="default" w:ascii="Times New Roman" w:hAnsi="Times New Roman" w:cs="Times New Roman"/>
                <w:lang w:val="en-US" w:eastAsia="zh-CN"/>
              </w:rPr>
              <w:t>二十六、橡胶和塑料制品业 29 中的53塑料制品业292中的其他（年用非溶剂型低VOC含量涂料10吨以下的除外）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2290" w:type="dxa"/>
            <w:noWrap w:val="0"/>
            <w:vAlign w:val="center"/>
          </w:tcPr>
          <w:p>
            <w:pPr>
              <w:jc w:val="left"/>
              <w:rPr>
                <w:rFonts w:ascii="宋体" w:hAnsi="宋体" w:cs="宋体"/>
                <w:szCs w:val="21"/>
              </w:rPr>
            </w:pPr>
            <w:r>
              <w:rPr>
                <w:rFonts w:hint="eastAsia" w:ascii="宋体" w:hAnsi="宋体" w:cs="宋体"/>
                <w:szCs w:val="21"/>
              </w:rPr>
              <w:t>□新建（迁建）</w:t>
            </w:r>
          </w:p>
          <w:p>
            <w:pPr>
              <w:jc w:val="left"/>
              <w:rPr>
                <w:rFonts w:hint="eastAsia" w:ascii="宋体" w:hAnsi="宋体" w:cs="宋体"/>
                <w:szCs w:val="21"/>
              </w:rPr>
            </w:pPr>
            <w:r>
              <w:rPr>
                <w:rFonts w:hint="eastAsia" w:ascii="宋体" w:hAnsi="宋体" w:cs="宋体"/>
                <w:szCs w:val="21"/>
              </w:rPr>
              <w:t>□改建</w:t>
            </w:r>
          </w:p>
          <w:p>
            <w:pPr>
              <w:jc w:val="left"/>
              <w:rPr>
                <w:rFonts w:hint="eastAsia" w:ascii="宋体" w:hAnsi="宋体" w:cs="宋体"/>
                <w:szCs w:val="21"/>
              </w:rPr>
            </w:pPr>
            <w:r>
              <w:rPr>
                <w:rFonts w:hint="eastAsia" w:ascii="宋体" w:hAnsi="宋体" w:cs="宋体"/>
                <w:szCs w:val="21"/>
              </w:rPr>
              <w:sym w:font="Wingdings 2" w:char="00A3"/>
            </w:r>
            <w:r>
              <w:rPr>
                <w:rFonts w:hint="eastAsia" w:ascii="宋体" w:hAnsi="宋体" w:cs="宋体"/>
                <w:szCs w:val="21"/>
              </w:rPr>
              <w:t>扩建</w:t>
            </w:r>
          </w:p>
          <w:p>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技术改造</w:t>
            </w:r>
          </w:p>
        </w:tc>
        <w:tc>
          <w:tcPr>
            <w:tcW w:w="2212"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639" w:type="dxa"/>
            <w:noWrap w:val="0"/>
            <w:vAlign w:val="center"/>
          </w:tcPr>
          <w:p>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首次申报项目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rPr>
              <w:t>□不予批准后再次申报项目</w:t>
            </w:r>
          </w:p>
          <w:p>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超五年重新审核项目</w:t>
            </w:r>
            <w:r>
              <w:rPr>
                <w:rFonts w:ascii="宋体" w:hAnsi="宋体" w:cs="宋体"/>
                <w:szCs w:val="21"/>
              </w:rPr>
              <w:t xml:space="preserve">     </w:t>
            </w:r>
          </w:p>
          <w:p>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2290"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苏州工业园区行政审批局</w:t>
            </w:r>
          </w:p>
        </w:tc>
        <w:tc>
          <w:tcPr>
            <w:tcW w:w="2212"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苏园行审备〔2021〕</w:t>
            </w:r>
            <w:r>
              <w:rPr>
                <w:rFonts w:hint="eastAsia" w:cs="Times New Roman"/>
                <w:szCs w:val="21"/>
                <w:lang w:val="en-US" w:eastAsia="zh-CN"/>
              </w:rPr>
              <w:t>266</w:t>
            </w:r>
            <w:r>
              <w:rPr>
                <w:rFonts w:hint="default" w:ascii="Times New Roman" w:hAnsi="Times New Roman" w:cs="Times New Roman"/>
                <w:szCs w:val="21"/>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229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9"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29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5</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9"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2290" w:type="dxa"/>
            <w:noWrap w:val="0"/>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否</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用地面积（m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4268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noWrap w:val="0"/>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7141" w:type="dxa"/>
            <w:gridSpan w:val="3"/>
            <w:noWrap w:val="0"/>
            <w:vAlign w:val="center"/>
          </w:tcPr>
          <w:p>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7141"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规划名称：《苏州工业园区总体规划》（2012-2030）</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审批机关：江苏省人民政府</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ascii="宋体" w:hAnsi="宋体" w:cs="宋体"/>
                <w:kern w:val="0"/>
                <w:szCs w:val="21"/>
              </w:rPr>
            </w:pPr>
            <w:r>
              <w:rPr>
                <w:rFonts w:hint="default" w:ascii="Times New Roman" w:hAnsi="Times New Roman" w:eastAsia="宋体" w:cs="Times New Roman"/>
                <w:kern w:val="0"/>
                <w:sz w:val="21"/>
                <w:szCs w:val="21"/>
                <w:highlight w:val="none"/>
                <w:lang w:val="en-US" w:eastAsia="zh-CN"/>
              </w:rPr>
              <w:t>审批文件名称及文号：《省政府关于苏州工业园区总体规划（2012-2030）的批复》（苏政复[2014]86号）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noWrap w:val="0"/>
            <w:vAlign w:val="center"/>
          </w:tcPr>
          <w:p>
            <w:pPr>
              <w:adjustRightInd w:val="0"/>
              <w:snapToGrid w:val="0"/>
              <w:jc w:val="center"/>
              <w:rPr>
                <w:rFonts w:ascii="宋体" w:hAnsi="宋体" w:cs="宋体"/>
                <w:szCs w:val="21"/>
              </w:rPr>
            </w:pPr>
            <w:r>
              <w:rPr>
                <w:rFonts w:hint="eastAsia" w:ascii="宋体" w:hAnsi="宋体" w:cs="宋体"/>
                <w:szCs w:val="21"/>
              </w:rPr>
              <w:t>规划环境影响</w:t>
            </w:r>
          </w:p>
          <w:p>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7141"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规划环评文件名称：苏州工业园区总体规划（2012-2030）环境影响报告书</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召集审查机关：原环境保护部</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ascii="宋体" w:hAnsi="宋体" w:cs="宋体"/>
                <w:kern w:val="0"/>
                <w:szCs w:val="21"/>
              </w:rPr>
            </w:pPr>
            <w:r>
              <w:rPr>
                <w:rFonts w:hint="default" w:ascii="Times New Roman" w:hAnsi="Times New Roman" w:eastAsia="宋体" w:cs="Times New Roman"/>
                <w:kern w:val="0"/>
                <w:sz w:val="21"/>
                <w:szCs w:val="21"/>
                <w:highlight w:val="none"/>
                <w:lang w:val="en-US" w:eastAsia="zh-CN"/>
              </w:rPr>
              <w:t>审查文件名称及文号：关于《苏州工业园区总体规划（2012-2030）环境影响报告书》的审查意见（环审[2015]197号）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w:t>
            </w:r>
          </w:p>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7141" w:type="dxa"/>
            <w:gridSpan w:val="3"/>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1、本项目属于《国民经济行业分类》（GB/T4754-2017）中C2929 塑料零件及其他塑料制品制造。经查询《限制用地项目目录（2012年本）》和《禁止用地项目目录（2012年本）》，本项目不属于限制和禁止类。</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2、与《苏州工业园区总体规划（2012-2030）》相符性：</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用地性质：本项目位于苏州工业园区</w:t>
            </w:r>
            <w:r>
              <w:rPr>
                <w:rFonts w:hint="eastAsia" w:ascii="Times New Roman" w:hAnsi="Times New Roman" w:eastAsia="宋体" w:cs="Times New Roman"/>
                <w:kern w:val="0"/>
                <w:sz w:val="21"/>
                <w:szCs w:val="21"/>
                <w:highlight w:val="none"/>
                <w:lang w:val="en-US" w:eastAsia="zh-CN"/>
              </w:rPr>
              <w:t>星海街220</w:t>
            </w:r>
            <w:r>
              <w:rPr>
                <w:rFonts w:hint="default" w:ascii="Times New Roman" w:hAnsi="Times New Roman" w:eastAsia="宋体" w:cs="Times New Roman"/>
                <w:kern w:val="0"/>
                <w:sz w:val="21"/>
                <w:szCs w:val="21"/>
                <w:highlight w:val="none"/>
                <w:lang w:val="en-US" w:eastAsia="zh-CN"/>
              </w:rPr>
              <w:t>号，根据《苏州工业园区总体规划（2012~2030）》，项目所在地为</w:t>
            </w:r>
            <w:r>
              <w:rPr>
                <w:rFonts w:hint="eastAsia" w:ascii="Times New Roman" w:hAnsi="Times New Roman" w:eastAsia="宋体" w:cs="Times New Roman"/>
                <w:kern w:val="0"/>
                <w:sz w:val="21"/>
                <w:szCs w:val="21"/>
                <w:highlight w:val="none"/>
                <w:lang w:val="en-US" w:eastAsia="zh-CN"/>
              </w:rPr>
              <w:t>生产研发</w:t>
            </w:r>
            <w:r>
              <w:rPr>
                <w:rFonts w:hint="default" w:ascii="Times New Roman" w:hAnsi="Times New Roman" w:eastAsia="宋体" w:cs="Times New Roman"/>
                <w:kern w:val="0"/>
                <w:sz w:val="21"/>
                <w:szCs w:val="21"/>
                <w:highlight w:val="none"/>
                <w:lang w:val="en-US" w:eastAsia="zh-CN"/>
              </w:rPr>
              <w:t>用地。因此，本项目与用地规划相符。</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产业结构：园区产业发展方向：现代服务业：以金融产业为突破口，发挥服务贸易创新示范基地优势，重点培育金融、总部、外包、文创、商贸物流、旅游会展等产业。新兴产业：以纳米技术为引领，重点发展光电新能源、生物医药、融合通信、软件动漫游戏、生态环保五大新兴产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园区拟定提升发展电子信息、装备制造等主导产业，加快发展生物医药、纳米光电新能源和融合通信等新兴产业，通过现有制造业调整内部结构，延伸产业链，构建更为先进的产业体系；同时园区实行了绿色招商，对入区项目实行严格的筛选制度，鼓励高科技、轻污染项目入园，重污染的项目严禁入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sz w:val="21"/>
                <w:szCs w:val="21"/>
                <w:highlight w:val="none"/>
                <w:lang w:val="en-US" w:eastAsia="zh-CN"/>
              </w:rPr>
              <w:t>本项目</w:t>
            </w:r>
            <w:r>
              <w:rPr>
                <w:rFonts w:hint="eastAsia" w:cs="Times New Roman"/>
                <w:sz w:val="21"/>
                <w:szCs w:val="21"/>
                <w:highlight w:val="none"/>
                <w:lang w:val="en-US" w:eastAsia="zh-CN"/>
              </w:rPr>
              <w:t>属于</w:t>
            </w:r>
            <w:r>
              <w:rPr>
                <w:rFonts w:hint="default" w:ascii="Times New Roman" w:hAnsi="Times New Roman" w:cs="Times New Roman"/>
                <w:szCs w:val="24"/>
              </w:rPr>
              <w:t>C2929 塑料零件及其他塑料制品制造</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b w:val="0"/>
                <w:bCs w:val="0"/>
                <w:color w:val="auto"/>
                <w:kern w:val="0"/>
                <w:szCs w:val="21"/>
                <w:highlight w:val="none"/>
                <w:lang w:val="en-US" w:eastAsia="zh-CN"/>
              </w:rPr>
              <w:t>技术工艺成熟，</w:t>
            </w:r>
            <w:r>
              <w:rPr>
                <w:rFonts w:hint="eastAsia" w:cs="Times New Roman"/>
                <w:b w:val="0"/>
                <w:bCs w:val="0"/>
                <w:color w:val="auto"/>
                <w:kern w:val="0"/>
                <w:szCs w:val="21"/>
                <w:highlight w:val="none"/>
                <w:lang w:val="en-US" w:eastAsia="zh-CN"/>
              </w:rPr>
              <w:t>不违背园区产业体系</w:t>
            </w:r>
            <w:r>
              <w:rPr>
                <w:rFonts w:hint="default" w:ascii="Times New Roman" w:hAnsi="Times New Roman" w:eastAsia="宋体" w:cs="Times New Roman"/>
                <w:b w:val="0"/>
                <w:bCs w:val="0"/>
                <w:color w:val="auto"/>
                <w:kern w:val="0"/>
                <w:szCs w:val="21"/>
                <w:highlight w:val="none"/>
                <w:lang w:val="en-US" w:eastAsia="zh-CN"/>
              </w:rPr>
              <w:t>，且本项目建设用地性质为</w:t>
            </w:r>
            <w:r>
              <w:rPr>
                <w:rFonts w:hint="eastAsia" w:cs="Times New Roman"/>
                <w:kern w:val="0"/>
                <w:sz w:val="21"/>
                <w:szCs w:val="21"/>
                <w:highlight w:val="none"/>
                <w:lang w:val="en-US" w:eastAsia="zh-CN"/>
              </w:rPr>
              <w:t>生产研发</w:t>
            </w:r>
            <w:r>
              <w:rPr>
                <w:rFonts w:hint="default" w:ascii="Times New Roman" w:hAnsi="Times New Roman" w:eastAsia="宋体" w:cs="Times New Roman"/>
                <w:kern w:val="0"/>
                <w:sz w:val="21"/>
                <w:szCs w:val="21"/>
                <w:highlight w:val="none"/>
                <w:lang w:val="en-US" w:eastAsia="zh-CN"/>
              </w:rPr>
              <w:t>用地</w:t>
            </w:r>
            <w:r>
              <w:rPr>
                <w:rFonts w:hint="default" w:ascii="Times New Roman" w:hAnsi="Times New Roman" w:eastAsia="宋体" w:cs="Times New Roman"/>
                <w:b w:val="0"/>
                <w:bCs w:val="0"/>
                <w:color w:val="auto"/>
                <w:kern w:val="0"/>
                <w:szCs w:val="21"/>
                <w:highlight w:val="none"/>
                <w:lang w:val="en-US" w:eastAsia="zh-CN"/>
              </w:rPr>
              <w:t>，符合用地规划的要求。因此，本次项目符合《苏州工业园区总体规划》（2012-2030）的相关要求。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val="en-US" w:eastAsia="zh-CN"/>
              </w:rPr>
              <w:t>、与《苏州工业园区总体规划（2012-2030）环境影响报告书》及其审查意见的相符性：</w:t>
            </w:r>
          </w:p>
          <w:p>
            <w:pPr>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表1-1</w:t>
            </w:r>
            <w:r>
              <w:rPr>
                <w:rFonts w:hint="eastAsia" w:ascii="Times New Roman" w:hAnsi="Times New Roman" w:eastAsia="宋体" w:cs="Times New Roman"/>
                <w:b/>
                <w:bCs/>
                <w:kern w:val="0"/>
                <w:sz w:val="21"/>
                <w:szCs w:val="21"/>
                <w:highlight w:val="none"/>
                <w:lang w:val="en-US" w:eastAsia="zh-CN"/>
              </w:rPr>
              <w:t xml:space="preserve">  </w:t>
            </w:r>
            <w:r>
              <w:rPr>
                <w:rFonts w:hint="default" w:ascii="Times New Roman" w:hAnsi="Times New Roman" w:eastAsia="宋体" w:cs="Times New Roman"/>
                <w:b/>
                <w:bCs/>
                <w:kern w:val="0"/>
                <w:sz w:val="21"/>
                <w:szCs w:val="21"/>
                <w:highlight w:val="none"/>
              </w:rPr>
              <w:t>本项目与园区规划环评及审查意见的相符性</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3703"/>
              <w:gridCol w:w="24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序号</w:t>
                  </w:r>
                </w:p>
              </w:tc>
              <w:tc>
                <w:tcPr>
                  <w:tcW w:w="3789" w:type="dxa"/>
                  <w:tcBorders>
                    <w:tl2br w:val="nil"/>
                    <w:tr2bl w:val="nil"/>
                  </w:tcBorders>
                  <w:noWrap w:val="0"/>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审批意见</w:t>
                  </w:r>
                </w:p>
              </w:tc>
              <w:tc>
                <w:tcPr>
                  <w:tcW w:w="2526" w:type="dxa"/>
                  <w:tcBorders>
                    <w:tl2br w:val="nil"/>
                    <w:tr2bl w:val="nil"/>
                  </w:tcBorders>
                  <w:noWrap w:val="0"/>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3789"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根据国家、区域发展战略，结合苏州城市发展规划，从改善提升园区环境质量和生态功能的角度，树立错位发展、集约发展、绿色发展以及城市与产业协调发展的理念，合理确定《规划》的发展定位、规模、功能布局等，促进园区转型升级，保障区域人居环境安全。</w:t>
                  </w:r>
                </w:p>
              </w:tc>
              <w:tc>
                <w:tcPr>
                  <w:tcW w:w="2526"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本项目拟建地为</w:t>
                  </w:r>
                  <w:r>
                    <w:rPr>
                      <w:rFonts w:hint="eastAsia" w:cs="Times New Roman"/>
                      <w:kern w:val="0"/>
                      <w:sz w:val="18"/>
                      <w:szCs w:val="18"/>
                      <w:highlight w:val="none"/>
                      <w:lang w:val="en-US" w:eastAsia="zh-CN"/>
                    </w:rPr>
                    <w:t>生产研发</w:t>
                  </w:r>
                  <w:r>
                    <w:rPr>
                      <w:rFonts w:hint="default" w:ascii="Times New Roman" w:hAnsi="Times New Roman" w:eastAsia="宋体" w:cs="Times New Roman"/>
                      <w:kern w:val="0"/>
                      <w:sz w:val="18"/>
                      <w:szCs w:val="18"/>
                      <w:highlight w:val="none"/>
                      <w:lang w:val="en-US" w:eastAsia="zh-CN"/>
                    </w:rPr>
                    <w:t>用地</w:t>
                  </w:r>
                  <w:r>
                    <w:rPr>
                      <w:rFonts w:hint="default" w:ascii="Times New Roman" w:hAnsi="Times New Roman" w:eastAsia="宋体" w:cs="Times New Roman"/>
                      <w:sz w:val="18"/>
                      <w:szCs w:val="18"/>
                      <w:highlight w:val="none"/>
                    </w:rPr>
                    <w:t>，与土地利用总体规划相协调。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p>
              </w:tc>
              <w:tc>
                <w:tcPr>
                  <w:tcW w:w="3789"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优化区内空间布局。严守生态红线，加强阳澄湖、金鸡湖、独墅湖重要生态湿地等</w:t>
                  </w:r>
                  <w:bookmarkStart w:id="5" w:name="_GoBack"/>
                  <w:r>
                    <w:rPr>
                      <w:rFonts w:hint="default" w:ascii="Times New Roman" w:hAnsi="Times New Roman" w:eastAsia="宋体" w:cs="Times New Roman"/>
                      <w:sz w:val="18"/>
                      <w:szCs w:val="18"/>
                      <w:highlight w:val="none"/>
                    </w:rPr>
                    <w:t>生态环境</w:t>
                  </w:r>
                  <w:bookmarkEnd w:id="5"/>
                  <w:r>
                    <w:rPr>
                      <w:rFonts w:hint="default" w:ascii="Times New Roman" w:hAnsi="Times New Roman" w:eastAsia="宋体" w:cs="Times New Roman"/>
                      <w:sz w:val="18"/>
                      <w:szCs w:val="18"/>
                      <w:highlight w:val="none"/>
                    </w:rPr>
                    <w:t>敏感区的环境管控，确保区域生态安全和生态系统稳定。</w:t>
                  </w:r>
                </w:p>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通过采取“退二进三”“退二优二”“留二优二”的用地调整策略，优化园区布局，解决好斜塘老镇区、科教创新区及车坊片区部分地块居住于工业布局混杂的问题。</w:t>
                  </w:r>
                </w:p>
              </w:tc>
              <w:tc>
                <w:tcPr>
                  <w:tcW w:w="2526"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本项目所在地不在《江苏省国家级生态保护红线规划》和《江苏省生态空间管控区域规划》范围内，符合生态红线区域保护规划的通知要求，确保了区域生态系统安全和稳定。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w:t>
                  </w:r>
                </w:p>
              </w:tc>
              <w:tc>
                <w:tcPr>
                  <w:tcW w:w="3789"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加快推进区内产业优化和转型升级。制定实施方案，逐步淘汰现有化工、造纸等不符合区域发展定位和环境保护要求的产业，严格限制纺织业等产业规模。</w:t>
                  </w:r>
                </w:p>
              </w:tc>
              <w:tc>
                <w:tcPr>
                  <w:tcW w:w="2526"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本项目属于</w:t>
                  </w:r>
                  <w:r>
                    <w:rPr>
                      <w:rFonts w:hint="eastAsia" w:cs="Times New Roman"/>
                      <w:sz w:val="18"/>
                      <w:szCs w:val="18"/>
                      <w:highlight w:val="none"/>
                      <w:lang w:val="en-US" w:eastAsia="zh-CN"/>
                    </w:rPr>
                    <w:t>塑料制品</w:t>
                  </w:r>
                  <w:r>
                    <w:rPr>
                      <w:rFonts w:hint="default" w:ascii="Times New Roman" w:hAnsi="Times New Roman" w:eastAsia="宋体" w:cs="Times New Roman"/>
                      <w:sz w:val="18"/>
                      <w:szCs w:val="18"/>
                      <w:highlight w:val="none"/>
                      <w:lang w:eastAsia="zh-CN"/>
                    </w:rPr>
                    <w:t>业</w:t>
                  </w:r>
                  <w:r>
                    <w:rPr>
                      <w:rFonts w:hint="default"/>
                      <w:sz w:val="18"/>
                      <w:szCs w:val="18"/>
                      <w:lang w:val="en-US" w:eastAsia="zh-CN"/>
                    </w:rPr>
                    <w:t xml:space="preserve"> </w:t>
                  </w:r>
                  <w:r>
                    <w:rPr>
                      <w:rFonts w:hint="default" w:ascii="Times New Roman" w:hAnsi="Times New Roman" w:eastAsia="宋体" w:cs="Times New Roman"/>
                      <w:sz w:val="18"/>
                      <w:szCs w:val="18"/>
                      <w:highlight w:val="none"/>
                    </w:rPr>
                    <w:t>，生产工艺成熟、简单，产生的污染物较少，经有效处理后可达标排放，因此，本项目的建设与区域总体规划的相容。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4</w:t>
                  </w:r>
                </w:p>
              </w:tc>
              <w:tc>
                <w:tcPr>
                  <w:tcW w:w="3789"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严格入区产业和项目的环境准入。制定严格的产业准入负面清单，禁止高污染、高耗能、高风险产业准入，禁止新建、改建、扩建化工、印染、造纸、电镀、危险化学品储存等项目。引进项目的生产工艺、设备、污染治理技术，以及单位产品能耗、物耗、污染物排放和资源利用率均需达到同行业国际先进水平。</w:t>
                  </w:r>
                </w:p>
              </w:tc>
              <w:tc>
                <w:tcPr>
                  <w:tcW w:w="2526"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本项目符合环境准入，不在产业准入负面清单规定的范围内。项目主要引进国内外先进生产技术，其设备、污染治理技术等能够达到同行业国际先进水平。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5</w:t>
                  </w:r>
                </w:p>
              </w:tc>
              <w:tc>
                <w:tcPr>
                  <w:tcW w:w="3789"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加强阳澄湖水环境保护。落实《江苏省生态红线区域保护规划》和《苏州市阳澄湖水源水质保护条例》要求，清理整顿阳澄湖饮用水水源保护区内水产养殖项目和不符合保护要求的企业，推动阳澄湖水环境质量持续改善。</w:t>
                  </w:r>
                </w:p>
              </w:tc>
              <w:tc>
                <w:tcPr>
                  <w:tcW w:w="2526"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本项目不在阳澄湖（工业园区）重要湿地及阳澄湖苏州工业园区饮用水水源保护区，符合相关要求。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tcBorders>
                    <w:tl2br w:val="nil"/>
                    <w:tr2bl w:val="nil"/>
                  </w:tcBorders>
                  <w:noWrap w:val="0"/>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6</w:t>
                  </w:r>
                </w:p>
              </w:tc>
              <w:tc>
                <w:tcPr>
                  <w:tcW w:w="3789"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落实污染物排放总量控制要求，采取有效措施减少二氧化硫、氮氧化物、挥发性有机物、化学需氧量、氨氮、总磷、重金属等污染物的排放量，切实维护和改善区域环境质量。</w:t>
                  </w:r>
                </w:p>
              </w:tc>
              <w:tc>
                <w:tcPr>
                  <w:tcW w:w="2526" w:type="dxa"/>
                  <w:tcBorders>
                    <w:tl2br w:val="nil"/>
                    <w:tr2bl w:val="nil"/>
                  </w:tcBorders>
                  <w:noWrap w:val="0"/>
                  <w:vAlign w:val="center"/>
                </w:tcPr>
                <w:p>
                  <w:pPr>
                    <w:autoSpaceDE w:val="0"/>
                    <w:autoSpaceDN w:val="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本项目产生的污染物均采取有效措施减少污染物的排放量，落实污染物排放总量控</w:t>
                  </w:r>
                  <w:r>
                    <w:rPr>
                      <w:rFonts w:hint="eastAsia" w:cs="Times New Roman"/>
                      <w:sz w:val="18"/>
                      <w:szCs w:val="18"/>
                      <w:highlight w:val="none"/>
                      <w:lang w:val="en-US" w:eastAsia="zh-CN"/>
                    </w:rPr>
                    <w:t xml:space="preserve">  </w:t>
                  </w:r>
                  <w:r>
                    <w:rPr>
                      <w:rFonts w:hint="default" w:ascii="Times New Roman" w:hAnsi="Times New Roman" w:eastAsia="宋体" w:cs="Times New Roman"/>
                      <w:sz w:val="18"/>
                      <w:szCs w:val="18"/>
                      <w:highlight w:val="none"/>
                    </w:rPr>
                    <w:t>制要求</w:t>
                  </w:r>
                </w:p>
              </w:tc>
            </w:tr>
          </w:tbl>
          <w:p>
            <w:pPr>
              <w:pStyle w:val="15"/>
            </w:pPr>
            <w:r>
              <w:rPr>
                <w:rFonts w:hint="default" w:ascii="Times New Roman" w:hAnsi="Times New Roman" w:eastAsia="宋体" w:cs="Times New Roman"/>
                <w:kern w:val="0"/>
                <w:sz w:val="21"/>
                <w:szCs w:val="21"/>
                <w:highlight w:val="none"/>
                <w:lang w:val="en-US" w:eastAsia="zh-CN"/>
              </w:rPr>
              <w:t>综上，本项目符合《苏州工业园区总体规划（2012-2030年）》、《苏州工业园区总体规划（2012-2030）环境影响报告书》及其审查意见中用地和产业规划的要求。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7141" w:type="dxa"/>
            <w:gridSpan w:val="3"/>
            <w:noWrap w:val="0"/>
            <w:vAlign w:val="center"/>
          </w:tcPr>
          <w:p>
            <w:pPr>
              <w:numPr>
                <w:ilvl w:val="0"/>
                <w:numId w:val="0"/>
              </w:numPr>
              <w:autoSpaceDE w:val="0"/>
              <w:autoSpaceDN w:val="0"/>
              <w:adjustRightInd w:val="0"/>
              <w:snapToGrid w:val="0"/>
              <w:spacing w:line="360" w:lineRule="auto"/>
              <w:ind w:firstLine="422" w:firstLineChars="200"/>
              <w:rPr>
                <w:rFonts w:hint="default" w:ascii="Times New Roman" w:hAnsi="Times New Roman" w:eastAsia="宋体" w:cs="Times New Roman"/>
                <w:b/>
                <w:bCs/>
                <w:kern w:val="0"/>
                <w:sz w:val="21"/>
                <w:szCs w:val="21"/>
                <w:highlight w:val="none"/>
                <w:lang w:val="en-US" w:eastAsia="zh-CN" w:bidi="ar-SA"/>
              </w:rPr>
            </w:pPr>
            <w:r>
              <w:rPr>
                <w:rFonts w:hint="eastAsia" w:ascii="Times New Roman" w:hAnsi="Times New Roman" w:eastAsia="宋体" w:cs="Times New Roman"/>
                <w:b/>
                <w:bCs/>
                <w:kern w:val="0"/>
                <w:sz w:val="21"/>
                <w:szCs w:val="21"/>
                <w:highlight w:val="none"/>
                <w:lang w:val="en-US" w:eastAsia="zh-CN" w:bidi="ar-SA"/>
              </w:rPr>
              <w:t>1</w:t>
            </w:r>
            <w:r>
              <w:rPr>
                <w:rFonts w:hint="default" w:ascii="Times New Roman" w:hAnsi="Times New Roman" w:eastAsia="宋体" w:cs="Times New Roman"/>
                <w:b/>
                <w:bCs/>
                <w:kern w:val="0"/>
                <w:sz w:val="21"/>
                <w:szCs w:val="21"/>
                <w:highlight w:val="none"/>
                <w:lang w:val="en-US" w:eastAsia="zh-CN" w:bidi="ar-SA"/>
              </w:rPr>
              <w:t>、与《太湖流域管理条例》和《江苏省太湖水污染防治条例》相符性分析</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1）根据《太湖流域管理条例》（国务院令第604号）二十八条排污单位排放水污染物，不得超过经核定的水污染物排放总量，并应当按照规定设置便于检查、采样的规范化排污口，悬挂标志牌；不得私设暗管或者采取其他规避监管的方式排放水污染物。</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禁止在太湖流域设置不符合国家产业政策和水环境综合治理要求的造纸、制革、酒精、淀粉、冶金、酿造、印染、电镀等排放水污染物的生产项目，现有的生产项目不能实现达标排放的，应当依法关闭。</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根据《江苏省太湖水污染防治条例》（2018修订）第四十三条规定太湖一、二、三级保护区禁止下列行为：</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一）新建、改建、扩建化学制浆造纸、制革、酿造、染料、印染、电镀以及其他排放含氮、磷等污染水体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田；（八）违法开山采石或者破坏林木、植被、水生生物的活动；（九）法律、法规禁止的其他行为。</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根据《省政府办公厅关于公布江苏省太湖流域三级保护区范围的通知》（苏政办发〔2012〕221号）文件，本项目位于太湖三级保护区，应当严格贯彻落实《太湖流域管理条例》（国务院令第604号）和《江苏省太湖水污染防治条例》(2018年修订）中的相关条例。</w:t>
            </w:r>
          </w:p>
          <w:p>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本项目</w:t>
            </w:r>
            <w:r>
              <w:rPr>
                <w:rFonts w:hint="eastAsia" w:cs="Times New Roman"/>
                <w:kern w:val="0"/>
                <w:sz w:val="21"/>
                <w:szCs w:val="21"/>
                <w:highlight w:val="none"/>
                <w:lang w:val="en-US" w:eastAsia="zh-CN" w:bidi="ar-SA"/>
              </w:rPr>
              <w:t>生产塑料制品</w:t>
            </w:r>
            <w:r>
              <w:rPr>
                <w:rFonts w:hint="default" w:ascii="Times New Roman" w:hAnsi="Times New Roman" w:eastAsia="宋体" w:cs="Times New Roman"/>
                <w:kern w:val="0"/>
                <w:sz w:val="21"/>
                <w:szCs w:val="21"/>
                <w:highlight w:val="none"/>
                <w:lang w:val="en-US" w:eastAsia="zh-CN" w:bidi="ar-SA"/>
              </w:rPr>
              <w:t>，行业类别为：塑料制品制造，不属于造纸、制革、酒精、淀粉、冶金、酿造、印染、电镀等排放水污染物的生产项目，且本项目只有生活污水</w:t>
            </w:r>
            <w:r>
              <w:rPr>
                <w:rFonts w:hint="eastAsia" w:cs="Times New Roman"/>
                <w:kern w:val="0"/>
                <w:sz w:val="21"/>
                <w:szCs w:val="21"/>
                <w:highlight w:val="none"/>
                <w:lang w:val="en-US" w:eastAsia="zh-CN" w:bidi="ar-SA"/>
              </w:rPr>
              <w:t>和</w:t>
            </w:r>
            <w:r>
              <w:rPr>
                <w:rFonts w:hint="eastAsia" w:ascii="Times New Roman" w:hAnsi="Times New Roman" w:cs="Times New Roman"/>
                <w:color w:val="auto"/>
                <w:sz w:val="21"/>
                <w:szCs w:val="21"/>
                <w:highlight w:val="none"/>
                <w:lang w:val="en-US" w:eastAsia="zh-CN"/>
              </w:rPr>
              <w:t>循环冷却水</w:t>
            </w:r>
            <w:r>
              <w:rPr>
                <w:rFonts w:hint="default" w:ascii="Times New Roman" w:hAnsi="Times New Roman" w:eastAsia="宋体" w:cs="Times New Roman"/>
                <w:kern w:val="0"/>
                <w:sz w:val="21"/>
                <w:szCs w:val="21"/>
                <w:highlight w:val="none"/>
                <w:lang w:val="en-US" w:eastAsia="zh-CN" w:bidi="ar-SA"/>
              </w:rPr>
              <w:t>排放，不属于太湖流域保护区的禁止行为，不在《太湖流域管理条例》（国务院令第604号）和《江苏省太湖水污染防治条例》(2018年修订）中规定的禁止建设项目之列，因此，本项目符合《太湖流域管理条例》（国务院令第604号）和《江苏省太湖水污染防治条例》(2018年修订）的相关规定。</w:t>
            </w:r>
          </w:p>
          <w:p>
            <w:pPr>
              <w:adjustRightInd w:val="0"/>
              <w:snapToGrid w:val="0"/>
              <w:spacing w:line="360" w:lineRule="auto"/>
              <w:ind w:firstLine="422" w:firstLineChars="200"/>
              <w:rPr>
                <w:rFonts w:hint="default" w:ascii="Times New Roman" w:hAnsi="Times New Roman" w:eastAsia="宋体" w:cs="Times New Roman"/>
                <w:b/>
                <w:bCs/>
                <w:kern w:val="0"/>
                <w:sz w:val="21"/>
                <w:szCs w:val="21"/>
                <w:highlight w:val="none"/>
                <w:lang w:val="en-US" w:eastAsia="zh-CN" w:bidi="ar-SA"/>
              </w:rPr>
            </w:pPr>
            <w:r>
              <w:rPr>
                <w:rFonts w:hint="eastAsia" w:ascii="Times New Roman" w:hAnsi="Times New Roman" w:eastAsia="宋体" w:cs="Times New Roman"/>
                <w:b/>
                <w:bCs/>
                <w:kern w:val="0"/>
                <w:sz w:val="21"/>
                <w:szCs w:val="21"/>
                <w:highlight w:val="none"/>
                <w:lang w:val="en-US" w:eastAsia="zh-CN" w:bidi="ar-SA"/>
              </w:rPr>
              <w:t>2</w:t>
            </w:r>
            <w:r>
              <w:rPr>
                <w:rFonts w:hint="default" w:ascii="Times New Roman" w:hAnsi="Times New Roman" w:eastAsia="宋体" w:cs="Times New Roman"/>
                <w:b/>
                <w:bCs/>
                <w:kern w:val="0"/>
                <w:sz w:val="21"/>
                <w:szCs w:val="21"/>
                <w:highlight w:val="none"/>
                <w:lang w:val="en-US" w:eastAsia="zh-CN" w:bidi="ar-SA"/>
              </w:rPr>
              <w:t>、与《苏州市阳澄湖水源水质保护条例》（2018年修订）相符性分析</w:t>
            </w:r>
          </w:p>
          <w:p>
            <w:pPr>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 xml:space="preserve">根据《苏州市阳澄湖水源水质保护条例》（2018年修订），保护区划分为一级、二级、三级保护区。 </w:t>
            </w:r>
          </w:p>
          <w:p>
            <w:pPr>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 xml:space="preserve">一级保护区：以集中式供水取水口为中心、半径五百米范围内的水域和陆域；傀儡湖、野尤泾水域及其沿岸纵深一百米的水域和陆域。 </w:t>
            </w:r>
          </w:p>
          <w:p>
            <w:pPr>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 xml:space="preserve">二级保护区：阳澄湖、傀儡湖及沿岸纵深一千米的水域和陆域；北河泾入湖口上溯五千米及沿岸纵深五百米。上述范围内已划为一级保护区的除外。 </w:t>
            </w:r>
          </w:p>
          <w:p>
            <w:pPr>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 xml:space="preserve">三级保护区：西至元和塘，东至张家港河（自张家港河与元和塘交接处往张家港河至昆山西仓基河与娄江交接处止），南到娄江（自市区外城河齐门始，经娄门沿娄江至昆山西仓基河与娄江交接处止），上述水域及其所围绕的三角地区已划为一、二级保护区的除外；市区外城河齐门至糖坊湾桥向南纵深二千米以及自娄门沿娄江至昆山西仓基河止向南纵深五百米范围内的水域和陆域；张家港河（下浜至西湖泾桥段）、张家港河下浜处折向厍浜至沙家浜镇小河与尤泾塘所包围的水域和陆域。 </w:t>
            </w:r>
          </w:p>
          <w:p>
            <w:pPr>
              <w:adjustRightInd w:val="0"/>
              <w:snapToGrid w:val="0"/>
              <w:spacing w:line="360" w:lineRule="auto"/>
              <w:ind w:firstLine="420" w:firstLineChars="200"/>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本项目位于</w:t>
            </w:r>
            <w:r>
              <w:rPr>
                <w:rFonts w:hint="eastAsia" w:cs="Times New Roman"/>
                <w:kern w:val="0"/>
                <w:sz w:val="21"/>
                <w:szCs w:val="21"/>
                <w:highlight w:val="none"/>
                <w:lang w:val="en-US" w:eastAsia="zh-CN" w:bidi="ar-SA"/>
              </w:rPr>
              <w:t>星海街220号</w:t>
            </w:r>
            <w:r>
              <w:rPr>
                <w:rFonts w:hint="default" w:ascii="Times New Roman" w:hAnsi="Times New Roman" w:eastAsia="宋体" w:cs="Times New Roman"/>
                <w:kern w:val="0"/>
                <w:sz w:val="21"/>
                <w:szCs w:val="21"/>
                <w:highlight w:val="none"/>
                <w:lang w:val="en-US" w:eastAsia="zh-CN" w:bidi="ar-SA"/>
              </w:rPr>
              <w:t>，</w:t>
            </w:r>
            <w:r>
              <w:rPr>
                <w:rFonts w:hint="eastAsia"/>
                <w:highlight w:val="none"/>
                <w:lang w:val="en-US" w:eastAsia="zh-CN"/>
              </w:rPr>
              <w:t>位于娄江以南</w:t>
            </w:r>
            <w:r>
              <w:rPr>
                <w:rFonts w:hint="default" w:ascii="Times New Roman" w:hAnsi="Times New Roman" w:eastAsia="宋体" w:cs="Times New Roman"/>
                <w:kern w:val="0"/>
                <w:sz w:val="21"/>
                <w:szCs w:val="21"/>
                <w:highlight w:val="none"/>
                <w:lang w:val="en-US" w:eastAsia="zh-CN" w:bidi="ar-SA"/>
              </w:rPr>
              <w:t>，距离阳澄湖湖体</w:t>
            </w:r>
            <w:r>
              <w:rPr>
                <w:rFonts w:hint="eastAsia" w:cs="Times New Roman"/>
                <w:kern w:val="0"/>
                <w:sz w:val="21"/>
                <w:szCs w:val="21"/>
                <w:highlight w:val="none"/>
                <w:lang w:val="en-US" w:eastAsia="zh-CN" w:bidi="ar-SA"/>
              </w:rPr>
              <w:t>3</w:t>
            </w:r>
            <w:r>
              <w:rPr>
                <w:rFonts w:hint="default" w:ascii="Times New Roman" w:hAnsi="Times New Roman" w:eastAsia="宋体" w:cs="Times New Roman"/>
                <w:kern w:val="0"/>
                <w:sz w:val="21"/>
                <w:szCs w:val="21"/>
                <w:highlight w:val="none"/>
                <w:lang w:val="en-US" w:eastAsia="zh-CN" w:bidi="ar-SA"/>
              </w:rPr>
              <w:t>.</w:t>
            </w:r>
            <w:r>
              <w:rPr>
                <w:rFonts w:hint="eastAsia" w:cs="Times New Roman"/>
                <w:kern w:val="0"/>
                <w:sz w:val="21"/>
                <w:szCs w:val="21"/>
                <w:highlight w:val="none"/>
                <w:lang w:val="en-US" w:eastAsia="zh-CN" w:bidi="ar-SA"/>
              </w:rPr>
              <w:t>1</w:t>
            </w:r>
            <w:r>
              <w:rPr>
                <w:rFonts w:hint="default" w:ascii="Times New Roman" w:hAnsi="Times New Roman" w:eastAsia="宋体" w:cs="Times New Roman"/>
                <w:kern w:val="0"/>
                <w:sz w:val="21"/>
                <w:szCs w:val="21"/>
                <w:highlight w:val="none"/>
                <w:lang w:val="en-US" w:eastAsia="zh-CN" w:bidi="ar-SA"/>
              </w:rPr>
              <w:t>km，不在阳澄湖保护范围内。且项目不排放生产废水，排放的生活污水</w:t>
            </w:r>
            <w:r>
              <w:rPr>
                <w:rFonts w:hint="eastAsia" w:cs="Times New Roman"/>
                <w:kern w:val="0"/>
                <w:sz w:val="21"/>
                <w:szCs w:val="21"/>
                <w:highlight w:val="none"/>
                <w:lang w:val="en-US" w:eastAsia="zh-CN" w:bidi="ar-SA"/>
              </w:rPr>
              <w:t>和</w:t>
            </w:r>
            <w:r>
              <w:rPr>
                <w:rFonts w:hint="eastAsia" w:ascii="Times New Roman" w:hAnsi="Times New Roman" w:cs="Times New Roman"/>
                <w:color w:val="auto"/>
                <w:sz w:val="21"/>
                <w:szCs w:val="21"/>
                <w:highlight w:val="none"/>
                <w:lang w:val="en-US" w:eastAsia="zh-CN"/>
              </w:rPr>
              <w:t>循环冷却水</w:t>
            </w:r>
            <w:r>
              <w:rPr>
                <w:rFonts w:hint="default" w:ascii="Times New Roman" w:hAnsi="Times New Roman" w:eastAsia="宋体" w:cs="Times New Roman"/>
                <w:kern w:val="0"/>
                <w:sz w:val="21"/>
                <w:szCs w:val="21"/>
                <w:highlight w:val="none"/>
                <w:lang w:val="en-US" w:eastAsia="zh-CN" w:bidi="ar-SA"/>
              </w:rPr>
              <w:t>通过市政污水管网排入园区污水处理厂处理，不直接向周围水体排放污染物；产生的危废交由有资质的单位处理处置，不随意排放，故符合《苏州市阳澄湖水源水质保护条例》（2018年修订）的相关规定。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lang w:val="en-US" w:eastAsia="zh-CN"/>
              </w:rPr>
              <w:t>、与“两减六治三提升”相符性分析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根据《省政府办公厅关于印发江苏省“两减六治三提升”专项行动实施方案的通知》（苏政办发[2017]30 号）、《中共江苏省委江苏省人民政府关于印发“两减六治三提升”专项行动方案的通知》（苏发[2016]47号）、《市政府办公室关于印发苏州市“两减六治三提升”13个专项行动实施方案的通知》（苏府办[2017]108 号）：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“两减”，即以减少煤炭消费总量和减少落后化工产能为重点，调整江苏省长期以来形成的煤炭型能源结构、重化型产业结构，从源头上为生态环境减负。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“六治”，即针对当前生态文明建设问题最突出、与群众生活联系最紧密、百姓反映最强烈的六方面问题，重点治理太湖水环境、生活垃圾、黑臭水体、畜禽养殖污染、挥发性有机物污染和环境隐患。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“三提升”，则是提升生态保护水平、提升环境经济政策调控水平、提升环境监管执法水平，为生态文明建设提供坚实保障。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本项目不使用煤炭，不在“两减”范围之内；生活垃圾无害化处理率可达100%，满足“治理生活垃圾”的相关要求；本项目不使用涂料、</w:t>
            </w:r>
            <w:r>
              <w:rPr>
                <w:rFonts w:hint="eastAsia" w:cs="Times New Roman"/>
                <w:color w:val="auto"/>
                <w:kern w:val="0"/>
                <w:sz w:val="21"/>
                <w:szCs w:val="21"/>
                <w:highlight w:val="none"/>
                <w:lang w:val="en-US" w:eastAsia="zh-CN"/>
              </w:rPr>
              <w:t>胶粘剂</w:t>
            </w:r>
            <w:r>
              <w:rPr>
                <w:rFonts w:hint="default" w:ascii="Times New Roman" w:hAnsi="Times New Roman" w:eastAsia="宋体" w:cs="Times New Roman"/>
                <w:color w:val="auto"/>
                <w:kern w:val="0"/>
                <w:sz w:val="21"/>
                <w:szCs w:val="21"/>
                <w:highlight w:val="none"/>
                <w:lang w:val="en-US" w:eastAsia="zh-CN"/>
              </w:rPr>
              <w:t>等高VOCs物料，不属于石化、化工、涂装、包装印刷等重点治理行业。本项目废气经处理设施处理后可达标排放，生活污水</w:t>
            </w:r>
            <w:r>
              <w:rPr>
                <w:rFonts w:hint="eastAsia" w:cs="Times New Roman"/>
                <w:color w:val="auto"/>
                <w:kern w:val="0"/>
                <w:sz w:val="21"/>
                <w:szCs w:val="21"/>
                <w:highlight w:val="none"/>
                <w:lang w:val="en-US" w:eastAsia="zh-CN"/>
              </w:rPr>
              <w:t>和</w:t>
            </w:r>
            <w:r>
              <w:rPr>
                <w:rFonts w:hint="eastAsia" w:ascii="Times New Roman" w:hAnsi="Times New Roman" w:cs="Times New Roman"/>
                <w:color w:val="auto"/>
                <w:sz w:val="21"/>
                <w:szCs w:val="21"/>
                <w:highlight w:val="none"/>
                <w:lang w:val="en-US" w:eastAsia="zh-CN"/>
              </w:rPr>
              <w:t>循环冷却水</w:t>
            </w:r>
            <w:r>
              <w:rPr>
                <w:rFonts w:hint="default" w:ascii="Times New Roman" w:hAnsi="Times New Roman" w:eastAsia="宋体" w:cs="Times New Roman"/>
                <w:color w:val="auto"/>
                <w:kern w:val="0"/>
                <w:sz w:val="21"/>
                <w:szCs w:val="21"/>
                <w:highlight w:val="none"/>
                <w:lang w:val="en-US" w:eastAsia="zh-CN"/>
              </w:rPr>
              <w:t>经市政污水管网排入园区污水厂，符合太湖水环境治理的要求；本项目不在“三提升”范围之内，不涉及黑臭水体、畜禽养殖。综上所述，本项目与“两减六治三提升”相符。</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lang w:val="en-US" w:eastAsia="zh-CN"/>
              </w:rPr>
              <w:t>、与《挥发性有机物无组织排放控制标准》（GB37822-2019）相符性分析</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color w:val="auto"/>
                <w:spacing w:val="-6"/>
                <w:kern w:val="0"/>
                <w:sz w:val="21"/>
                <w:szCs w:val="21"/>
                <w:highlight w:val="none"/>
                <w:lang w:val="en-US" w:eastAsia="zh-CN"/>
              </w:rPr>
            </w:pPr>
            <w:r>
              <w:rPr>
                <w:rFonts w:hint="default" w:ascii="Times New Roman" w:hAnsi="Times New Roman" w:eastAsia="宋体" w:cs="Times New Roman"/>
                <w:b/>
                <w:bCs/>
                <w:color w:val="auto"/>
                <w:spacing w:val="-6"/>
                <w:kern w:val="0"/>
                <w:sz w:val="21"/>
                <w:szCs w:val="21"/>
                <w:highlight w:val="none"/>
                <w:lang w:val="en-US" w:eastAsia="zh-CN"/>
              </w:rPr>
              <w:t>表</w:t>
            </w:r>
            <w:r>
              <w:rPr>
                <w:rFonts w:hint="eastAsia" w:ascii="Times New Roman" w:hAnsi="Times New Roman" w:eastAsia="宋体" w:cs="Times New Roman"/>
                <w:b/>
                <w:bCs/>
                <w:color w:val="auto"/>
                <w:spacing w:val="-6"/>
                <w:kern w:val="0"/>
                <w:sz w:val="21"/>
                <w:szCs w:val="21"/>
                <w:highlight w:val="none"/>
                <w:lang w:val="en-US" w:eastAsia="zh-CN"/>
              </w:rPr>
              <w:t>1</w:t>
            </w:r>
            <w:r>
              <w:rPr>
                <w:rFonts w:hint="default" w:ascii="Times New Roman" w:hAnsi="Times New Roman" w:eastAsia="宋体" w:cs="Times New Roman"/>
                <w:b/>
                <w:bCs/>
                <w:color w:val="auto"/>
                <w:spacing w:val="-6"/>
                <w:kern w:val="0"/>
                <w:sz w:val="21"/>
                <w:szCs w:val="21"/>
                <w:highlight w:val="none"/>
                <w:lang w:val="en-US" w:eastAsia="zh-CN"/>
              </w:rPr>
              <w:t>-</w:t>
            </w:r>
            <w:r>
              <w:rPr>
                <w:rFonts w:hint="eastAsia" w:ascii="Times New Roman" w:hAnsi="Times New Roman" w:eastAsia="宋体" w:cs="Times New Roman"/>
                <w:b/>
                <w:bCs/>
                <w:color w:val="auto"/>
                <w:spacing w:val="-6"/>
                <w:kern w:val="0"/>
                <w:sz w:val="21"/>
                <w:szCs w:val="21"/>
                <w:highlight w:val="none"/>
                <w:lang w:val="en-US" w:eastAsia="zh-CN"/>
              </w:rPr>
              <w:t>2</w:t>
            </w:r>
            <w:r>
              <w:rPr>
                <w:rFonts w:hint="default" w:ascii="Times New Roman" w:hAnsi="Times New Roman" w:eastAsia="宋体" w:cs="Times New Roman"/>
                <w:b/>
                <w:bCs/>
                <w:color w:val="auto"/>
                <w:spacing w:val="-6"/>
                <w:kern w:val="0"/>
                <w:sz w:val="21"/>
                <w:szCs w:val="21"/>
                <w:highlight w:val="none"/>
                <w:lang w:val="en-US" w:eastAsia="zh-CN"/>
              </w:rPr>
              <w:t xml:space="preserve">  与《挥发性有机物无组织排放控制标准》（GB37822-2019）相符性分析</w:t>
            </w:r>
          </w:p>
          <w:tbl>
            <w:tblPr>
              <w:tblStyle w:val="16"/>
              <w:tblW w:w="69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572"/>
              <w:gridCol w:w="2950"/>
              <w:gridCol w:w="1617"/>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内容</w:t>
                  </w: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序号</w:t>
                  </w:r>
                </w:p>
              </w:tc>
              <w:tc>
                <w:tcPr>
                  <w:tcW w:w="2130"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标准要求</w:t>
                  </w:r>
                </w:p>
              </w:tc>
              <w:tc>
                <w:tcPr>
                  <w:tcW w:w="1167" w:type="pct"/>
                  <w:tcBorders>
                    <w:tl2br w:val="nil"/>
                    <w:tr2bl w:val="nil"/>
                  </w:tcBorders>
                  <w:noWrap w:val="0"/>
                  <w:vAlign w:val="center"/>
                </w:tcPr>
                <w:p>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项目情况</w:t>
                  </w:r>
                </w:p>
              </w:tc>
              <w:tc>
                <w:tcPr>
                  <w:tcW w:w="632" w:type="pct"/>
                  <w:tcBorders>
                    <w:tl2br w:val="nil"/>
                    <w:tr2bl w:val="nil"/>
                  </w:tcBorders>
                  <w:noWrap w:val="0"/>
                  <w:vAlign w:val="center"/>
                </w:tcPr>
                <w:p>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VOCs物料储存无组织排放控制要求</w:t>
                  </w: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w:t>
                  </w:r>
                </w:p>
              </w:tc>
              <w:tc>
                <w:tcPr>
                  <w:tcW w:w="2130" w:type="pct"/>
                  <w:tcBorders>
                    <w:tl2br w:val="nil"/>
                    <w:tr2bl w:val="nil"/>
                  </w:tcBorders>
                  <w:noWrap w:val="0"/>
                  <w:vAlign w:val="center"/>
                </w:tcPr>
                <w:p>
                  <w:pPr>
                    <w:adjustRightInd w:val="0"/>
                    <w:snapToGri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1、VOCs物料应储存于密闭的容器、包装袋、储罐、储库、料仓中；2、盛装VOCs物料的容器或包装袋应存放于室内，或存放于设置有雨棚、遮阳和防渗设施的专用场地。盛装VOCs 物料的容器或包装袋在非取用状态时应加盖、封口，保持密闭；3、VOCs物料储库、料仓应满足密闭空间的要求。</w:t>
                  </w:r>
                </w:p>
              </w:tc>
              <w:tc>
                <w:tcPr>
                  <w:tcW w:w="1167" w:type="pct"/>
                  <w:tcBorders>
                    <w:tl2br w:val="nil"/>
                    <w:tr2bl w:val="nil"/>
                  </w:tcBorders>
                  <w:noWrap w:val="0"/>
                  <w:vAlign w:val="center"/>
                </w:tcPr>
                <w:p>
                  <w:pPr>
                    <w:pStyle w:val="6"/>
                    <w:spacing w:after="0"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本项目VOCs物料储存于密闭的包装</w:t>
                  </w:r>
                  <w:r>
                    <w:rPr>
                      <w:rFonts w:hint="default" w:ascii="Times New Roman" w:hAnsi="Times New Roman" w:cs="Times New Roman"/>
                      <w:color w:val="auto"/>
                      <w:sz w:val="18"/>
                      <w:szCs w:val="18"/>
                      <w:highlight w:val="none"/>
                      <w:lang w:val="en-US" w:eastAsia="zh-CN"/>
                    </w:rPr>
                    <w:t>容器</w:t>
                  </w:r>
                  <w:r>
                    <w:rPr>
                      <w:rFonts w:hint="default" w:ascii="Times New Roman" w:hAnsi="Times New Roman" w:cs="Times New Roman"/>
                      <w:color w:val="auto"/>
                      <w:sz w:val="18"/>
                      <w:szCs w:val="18"/>
                      <w:highlight w:val="none"/>
                    </w:rPr>
                    <w:t>中，</w:t>
                  </w:r>
                  <w:r>
                    <w:rPr>
                      <w:rFonts w:hint="default" w:ascii="Times New Roman" w:hAnsi="Times New Roman" w:cs="Times New Roman"/>
                      <w:color w:val="auto"/>
                      <w:sz w:val="18"/>
                      <w:szCs w:val="18"/>
                      <w:highlight w:val="none"/>
                      <w:lang w:val="en-US" w:eastAsia="zh-CN"/>
                    </w:rPr>
                    <w:t>其中</w:t>
                  </w:r>
                  <w:r>
                    <w:rPr>
                      <w:rFonts w:hint="eastAsia" w:ascii="Times New Roman" w:hAnsi="Times New Roman" w:cs="Times New Roman"/>
                      <w:color w:val="auto"/>
                      <w:sz w:val="18"/>
                      <w:szCs w:val="18"/>
                      <w:highlight w:val="none"/>
                      <w:lang w:val="en-US" w:eastAsia="zh-CN"/>
                    </w:rPr>
                    <w:t>润滑油等</w:t>
                  </w:r>
                  <w:r>
                    <w:rPr>
                      <w:rFonts w:hint="default" w:ascii="Times New Roman" w:hAnsi="Times New Roman" w:cs="Times New Roman"/>
                      <w:color w:val="auto"/>
                      <w:sz w:val="18"/>
                      <w:szCs w:val="18"/>
                      <w:highlight w:val="none"/>
                      <w:lang w:val="en-US" w:eastAsia="zh-CN"/>
                    </w:rPr>
                    <w:t>放置在防爆柜中</w:t>
                  </w:r>
                  <w:r>
                    <w:rPr>
                      <w:rFonts w:hint="default" w:ascii="Times New Roman" w:hAnsi="Times New Roman" w:cs="Times New Roman"/>
                      <w:color w:val="auto"/>
                      <w:sz w:val="18"/>
                      <w:szCs w:val="18"/>
                      <w:highlight w:val="none"/>
                    </w:rPr>
                    <w:t>，包装加盖封口，满足相关要求</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工艺过程VOCs无组织排放控制要求</w:t>
                  </w: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w:t>
                  </w:r>
                </w:p>
              </w:tc>
              <w:tc>
                <w:tcPr>
                  <w:tcW w:w="2130" w:type="pct"/>
                  <w:tcBorders>
                    <w:tl2br w:val="nil"/>
                    <w:tr2bl w:val="nil"/>
                  </w:tcBorders>
                  <w:noWrap w:val="0"/>
                  <w:vAlign w:val="center"/>
                </w:tcPr>
                <w:p>
                  <w:pPr>
                    <w:pStyle w:val="6"/>
                    <w:spacing w:after="0" w:line="240" w:lineRule="auto"/>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VOC</w:t>
                  </w:r>
                  <w:r>
                    <w:rPr>
                      <w:rFonts w:hint="default" w:ascii="Times New Roman" w:hAnsi="Times New Roman" w:eastAsia="宋体" w:cs="Times New Roman"/>
                      <w:color w:val="auto"/>
                      <w:kern w:val="2"/>
                      <w:sz w:val="18"/>
                      <w:szCs w:val="18"/>
                      <w:highlight w:val="none"/>
                      <w:lang w:val="en-US" w:eastAsia="zh-CN" w:bidi="ar-SA"/>
                    </w:rPr>
                    <w:t>s质量占比大于等于10%的含VOCs产品，其使用过程应采用密闭设备或在密闭空间内操作，废气应排至VOCs废气收集处理系统；无法密闭的，应采取局部气体收集措施，废气应排至VOCs废气收集处理系统。</w:t>
                  </w:r>
                </w:p>
              </w:tc>
              <w:tc>
                <w:tcPr>
                  <w:tcW w:w="1167" w:type="pct"/>
                  <w:tcBorders>
                    <w:tl2br w:val="nil"/>
                    <w:tr2bl w:val="nil"/>
                  </w:tcBorders>
                  <w:noWrap w:val="0"/>
                  <w:vAlign w:val="center"/>
                </w:tcPr>
                <w:p>
                  <w:pPr>
                    <w:pStyle w:val="6"/>
                    <w:numPr>
                      <w:ilvl w:val="0"/>
                      <w:numId w:val="0"/>
                    </w:numPr>
                    <w:spacing w:after="0"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rPr>
                    <w:t>本项目</w:t>
                  </w:r>
                  <w:r>
                    <w:rPr>
                      <w:rFonts w:hint="eastAsia" w:ascii="Times New Roman" w:hAnsi="Times New Roman" w:cs="Times New Roman"/>
                      <w:color w:val="auto"/>
                      <w:sz w:val="18"/>
                      <w:szCs w:val="18"/>
                      <w:highlight w:val="none"/>
                      <w:lang w:val="en-US" w:eastAsia="zh-CN"/>
                    </w:rPr>
                    <w:t>注塑</w:t>
                  </w:r>
                  <w:r>
                    <w:rPr>
                      <w:rFonts w:hint="default" w:ascii="Times New Roman" w:hAnsi="Times New Roman" w:cs="Times New Roman"/>
                      <w:color w:val="auto"/>
                      <w:sz w:val="18"/>
                      <w:szCs w:val="18"/>
                      <w:highlight w:val="none"/>
                      <w:lang w:val="en-US" w:eastAsia="zh-CN"/>
                    </w:rPr>
                    <w:t>等工序</w:t>
                  </w:r>
                  <w:r>
                    <w:rPr>
                      <w:rFonts w:hint="default" w:ascii="Times New Roman" w:hAnsi="Times New Roman" w:cs="Times New Roman"/>
                      <w:color w:val="auto"/>
                      <w:sz w:val="18"/>
                      <w:szCs w:val="18"/>
                      <w:highlight w:val="none"/>
                    </w:rPr>
                    <w:t>产生的有机废气经</w:t>
                  </w:r>
                  <w:r>
                    <w:rPr>
                      <w:rFonts w:hint="default" w:ascii="Times New Roman" w:hAnsi="Times New Roman" w:cs="Times New Roman"/>
                      <w:color w:val="auto"/>
                      <w:sz w:val="18"/>
                      <w:szCs w:val="18"/>
                      <w:highlight w:val="none"/>
                      <w:lang w:val="en-US" w:eastAsia="zh-CN"/>
                    </w:rPr>
                    <w:t>集气罩</w:t>
                  </w:r>
                  <w:r>
                    <w:rPr>
                      <w:rFonts w:hint="default" w:ascii="Times New Roman" w:hAnsi="Times New Roman" w:cs="Times New Roman"/>
                      <w:color w:val="auto"/>
                      <w:sz w:val="18"/>
                      <w:szCs w:val="18"/>
                      <w:highlight w:val="none"/>
                    </w:rPr>
                    <w:t>收集后由</w:t>
                  </w:r>
                  <w:r>
                    <w:rPr>
                      <w:rFonts w:hint="default" w:ascii="Times New Roman" w:hAnsi="Times New Roman" w:cs="Times New Roman"/>
                      <w:color w:val="auto"/>
                      <w:sz w:val="18"/>
                      <w:szCs w:val="18"/>
                      <w:highlight w:val="none"/>
                      <w:lang w:val="en-US" w:eastAsia="zh-CN"/>
                    </w:rPr>
                    <w:t>二级活性炭吸附装置处理</w:t>
                  </w:r>
                  <w:r>
                    <w:rPr>
                      <w:rFonts w:hint="default" w:ascii="Times New Roman" w:hAnsi="Times New Roman" w:cs="Times New Roman"/>
                      <w:color w:val="auto"/>
                      <w:sz w:val="18"/>
                      <w:szCs w:val="18"/>
                      <w:highlight w:val="none"/>
                    </w:rPr>
                    <w:t>后有组织排放</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w:t>
                  </w:r>
                </w:p>
              </w:tc>
              <w:tc>
                <w:tcPr>
                  <w:tcW w:w="2130" w:type="pct"/>
                  <w:tcBorders>
                    <w:tl2br w:val="nil"/>
                    <w:tr2bl w:val="nil"/>
                  </w:tcBorders>
                  <w:noWrap w:val="0"/>
                  <w:vAlign w:val="center"/>
                </w:tcPr>
                <w:p>
                  <w:pPr>
                    <w:adjustRightInd w:val="0"/>
                    <w:snapToGri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企业应建立台账，记录含VOCs原辅材料和含VOCs产品的名称、使用量、回收量、废弃量、去向以及VOCs含量等信息，台账保存期限不少于3年。</w:t>
                  </w:r>
                </w:p>
              </w:tc>
              <w:tc>
                <w:tcPr>
                  <w:tcW w:w="1167" w:type="pct"/>
                  <w:tcBorders>
                    <w:tl2br w:val="nil"/>
                    <w:tr2bl w:val="nil"/>
                  </w:tcBorders>
                  <w:noWrap w:val="0"/>
                  <w:vAlign w:val="center"/>
                </w:tcPr>
                <w:p>
                  <w:pPr>
                    <w:pStyle w:val="6"/>
                    <w:spacing w:after="0"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企业建立含VOCs 原辅材料相关信息的台账，并按要求保存台账</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w:t>
                  </w:r>
                </w:p>
              </w:tc>
              <w:tc>
                <w:tcPr>
                  <w:tcW w:w="2130" w:type="pct"/>
                  <w:tcBorders>
                    <w:tl2br w:val="nil"/>
                    <w:tr2bl w:val="nil"/>
                  </w:tcBorders>
                  <w:noWrap w:val="0"/>
                  <w:vAlign w:val="center"/>
                </w:tcPr>
                <w:p>
                  <w:pPr>
                    <w:adjustRightInd w:val="0"/>
                    <w:snapToGri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通风生产设备、操作工位、车间厂房等应在符合安全生产、职业卫生相关规定的前提下，根据行业作业规程与标准、工业建筑及洁净厂房通风设计规范等的要求，采用合理的通风量。</w:t>
                  </w:r>
                </w:p>
              </w:tc>
              <w:tc>
                <w:tcPr>
                  <w:tcW w:w="1167" w:type="pct"/>
                  <w:tcBorders>
                    <w:tl2br w:val="nil"/>
                    <w:tr2bl w:val="nil"/>
                  </w:tcBorders>
                  <w:noWrap w:val="0"/>
                  <w:vAlign w:val="center"/>
                </w:tcPr>
                <w:p>
                  <w:pPr>
                    <w:pStyle w:val="6"/>
                    <w:spacing w:after="0" w:line="240" w:lineRule="auto"/>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根据相应要求，采用合理通风量</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四</w:t>
                  </w:r>
                </w:p>
              </w:tc>
              <w:tc>
                <w:tcPr>
                  <w:tcW w:w="2130" w:type="pct"/>
                  <w:tcBorders>
                    <w:tl2br w:val="nil"/>
                    <w:tr2bl w:val="nil"/>
                  </w:tcBorders>
                  <w:noWrap w:val="0"/>
                  <w:vAlign w:val="center"/>
                </w:tcPr>
                <w:p>
                  <w:pPr>
                    <w:adjustRightInd w:val="0"/>
                    <w:snapToGrid w:val="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工艺过程产生的含VOCs废料(渣、液)应按照第5章（VOCs物料储存）、第6章（VOCs物料转移和输送）的要求进行储存转移和输送。盛装过VOCs物料的废包装容器应加盖密闭。</w:t>
                  </w:r>
                </w:p>
              </w:tc>
              <w:tc>
                <w:tcPr>
                  <w:tcW w:w="1167" w:type="pct"/>
                  <w:tcBorders>
                    <w:tl2br w:val="nil"/>
                    <w:tr2bl w:val="nil"/>
                  </w:tcBorders>
                  <w:noWrap w:val="0"/>
                  <w:vAlign w:val="center"/>
                </w:tcPr>
                <w:p>
                  <w:pPr>
                    <w:pStyle w:val="5"/>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本项目工艺过程产生的含VOCs废料按照要求进行密闭储存、转移和输送。盛装过VOCs物料的废包装容器均加盖密闭</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VOCs无组织排放废气收集处理系统要求</w:t>
                  </w: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w:t>
                  </w:r>
                </w:p>
              </w:tc>
              <w:tc>
                <w:tcPr>
                  <w:tcW w:w="2130"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VOCs 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167"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本项目VOCs废气收集处理系统与生产工艺设备同步运行</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w:t>
                  </w:r>
                </w:p>
              </w:tc>
              <w:tc>
                <w:tcPr>
                  <w:tcW w:w="2130"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废气收集系统的输送管道应密闭。</w:t>
                  </w:r>
                </w:p>
              </w:tc>
              <w:tc>
                <w:tcPr>
                  <w:tcW w:w="1167"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本项目废气收集系统的输送管道密闭</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w:t>
                  </w:r>
                </w:p>
              </w:tc>
              <w:tc>
                <w:tcPr>
                  <w:tcW w:w="2130"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对于重点地区，收集的废气中NMHC初始排放速≥2kg/h时，应配置VOCs处理设施，处理效率不应低于80%；采用的原辅材料符合国家有关低VOCs含量产品规定的除外。</w:t>
                  </w:r>
                </w:p>
              </w:tc>
              <w:tc>
                <w:tcPr>
                  <w:tcW w:w="1167"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本项目NMHC初始排放速率远低于2kg/h，为强化污染防治，设置了</w:t>
                  </w:r>
                  <w:r>
                    <w:rPr>
                      <w:rFonts w:hint="default" w:ascii="Times New Roman" w:hAnsi="Times New Roman" w:cs="Times New Roman"/>
                      <w:color w:val="auto"/>
                      <w:sz w:val="18"/>
                      <w:szCs w:val="18"/>
                      <w:highlight w:val="none"/>
                      <w:lang w:val="en-US" w:eastAsia="zh-CN"/>
                    </w:rPr>
                    <w:t>二级活性炭吸附装</w:t>
                  </w:r>
                  <w:r>
                    <w:rPr>
                      <w:rFonts w:hint="default" w:ascii="Times New Roman" w:hAnsi="Times New Roman" w:cs="Times New Roman"/>
                      <w:color w:val="auto"/>
                      <w:sz w:val="18"/>
                      <w:szCs w:val="18"/>
                      <w:highlight w:val="none"/>
                    </w:rPr>
                    <w:t>置对废气进行收集处理</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四</w:t>
                  </w:r>
                </w:p>
              </w:tc>
              <w:tc>
                <w:tcPr>
                  <w:tcW w:w="2130"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167"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企业建立了台账，记录相关信息，并按要求保存台账</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5"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企业厂区内及周边污染监控要求及污染物监测要求</w:t>
                  </w:r>
                </w:p>
              </w:tc>
              <w:tc>
                <w:tcPr>
                  <w:tcW w:w="413"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w:t>
                  </w:r>
                </w:p>
              </w:tc>
              <w:tc>
                <w:tcPr>
                  <w:tcW w:w="2130"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建立企业监测制度，制定监测方案，对污染物排放状况开展自行监测，保存原始监测记录，并公布监测结果</w:t>
                  </w:r>
                </w:p>
              </w:tc>
              <w:tc>
                <w:tcPr>
                  <w:tcW w:w="1167"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企业拟建立监测制度，并按相关要求进行监测与公开</w:t>
                  </w:r>
                </w:p>
              </w:tc>
              <w:tc>
                <w:tcPr>
                  <w:tcW w:w="632"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bidi="ar-SA"/>
              </w:rPr>
              <w:t>5</w:t>
            </w:r>
            <w:r>
              <w:rPr>
                <w:rFonts w:hint="default" w:ascii="Times New Roman" w:hAnsi="Times New Roman" w:eastAsia="宋体" w:cs="Times New Roman"/>
                <w:b/>
                <w:bCs/>
                <w:color w:val="auto"/>
                <w:kern w:val="0"/>
                <w:sz w:val="21"/>
                <w:szCs w:val="21"/>
                <w:highlight w:val="none"/>
                <w:lang w:val="en-US" w:eastAsia="zh-CN" w:bidi="ar-SA"/>
              </w:rPr>
              <w:t>、与《关于印发《2020年挥发性</w:t>
            </w:r>
            <w:r>
              <w:rPr>
                <w:rFonts w:hint="default" w:ascii="Times New Roman" w:hAnsi="Times New Roman" w:eastAsia="宋体" w:cs="Times New Roman"/>
                <w:b/>
                <w:bCs/>
                <w:color w:val="auto"/>
                <w:kern w:val="0"/>
                <w:sz w:val="21"/>
                <w:szCs w:val="21"/>
                <w:highlight w:val="none"/>
                <w:lang w:val="en-US" w:eastAsia="zh-CN"/>
              </w:rPr>
              <w:t>有机物治理攻坚方案》的通知（环大气〔2020〕33号）相符性分析</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表1-</w:t>
            </w:r>
            <w:r>
              <w:rPr>
                <w:rFonts w:hint="eastAsia"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lang w:val="en-US" w:eastAsia="zh-CN"/>
              </w:rPr>
              <w:t xml:space="preserve">  与《2020年挥发性有机物治理攻坚方案》相符性分析一览表</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3143"/>
              <w:gridCol w:w="1843"/>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tcBorders>
                    <w:tl2br w:val="nil"/>
                    <w:tr2bl w:val="nil"/>
                  </w:tcBorders>
                  <w:noWrap w:val="0"/>
                  <w:vAlign w:val="center"/>
                </w:tcPr>
                <w:p>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内容</w:t>
                  </w:r>
                </w:p>
              </w:tc>
              <w:tc>
                <w:tcPr>
                  <w:tcW w:w="2270" w:type="pct"/>
                  <w:tcBorders>
                    <w:tl2br w:val="nil"/>
                    <w:tr2bl w:val="nil"/>
                  </w:tcBorders>
                  <w:noWrap w:val="0"/>
                  <w:vAlign w:val="center"/>
                </w:tcPr>
                <w:p>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标准要求</w:t>
                  </w:r>
                </w:p>
              </w:tc>
              <w:tc>
                <w:tcPr>
                  <w:tcW w:w="1331" w:type="pct"/>
                  <w:tcBorders>
                    <w:tl2br w:val="nil"/>
                    <w:tr2bl w:val="nil"/>
                  </w:tcBorders>
                  <w:noWrap w:val="0"/>
                  <w:vAlign w:val="center"/>
                </w:tcPr>
                <w:p>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项目情况</w:t>
                  </w:r>
                </w:p>
              </w:tc>
              <w:tc>
                <w:tcPr>
                  <w:tcW w:w="516" w:type="pct"/>
                  <w:tcBorders>
                    <w:tl2br w:val="nil"/>
                    <w:tr2bl w:val="nil"/>
                  </w:tcBorders>
                  <w:noWrap w:val="0"/>
                  <w:vAlign w:val="center"/>
                </w:tcPr>
                <w:p>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一、大力推进源头替代，有效减少VOCs产生</w:t>
                  </w:r>
                </w:p>
              </w:tc>
              <w:tc>
                <w:tcPr>
                  <w:tcW w:w="2270"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企业应建立原辅材料台账，记录VOCs原辅材料名称、成分、VOCs含量、采购量、使用量、库存量、回收方式、回收量等信息，并保存相关证明材料</w:t>
                  </w:r>
                </w:p>
              </w:tc>
              <w:tc>
                <w:tcPr>
                  <w:tcW w:w="1331"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企业建立了台账，记录了VOCs原辅材料相关信息</w:t>
                  </w:r>
                </w:p>
              </w:tc>
              <w:tc>
                <w:tcPr>
                  <w:tcW w:w="516"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restart"/>
                  <w:tcBorders>
                    <w:tl2br w:val="nil"/>
                    <w:tr2bl w:val="nil"/>
                  </w:tcBorders>
                  <w:noWrap w:val="0"/>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二、全面落实标准要求，强化无组织排放控制</w:t>
                  </w:r>
                </w:p>
              </w:tc>
              <w:tc>
                <w:tcPr>
                  <w:tcW w:w="2270"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企业在无组织排放排查整治过程中，在保证安全的前提下，加强含VOCs物料全方位、全链条、全环节密闭管理。储存环节应采用密闭容器、包装袋，高效密封储罐，封闭式储库、料仓等。</w:t>
                  </w:r>
                </w:p>
              </w:tc>
              <w:tc>
                <w:tcPr>
                  <w:tcW w:w="1331" w:type="pct"/>
                  <w:tcBorders>
                    <w:tl2br w:val="nil"/>
                    <w:tr2bl w:val="nil"/>
                  </w:tcBorders>
                  <w:noWrap w:val="0"/>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企业</w:t>
                  </w:r>
                  <w:r>
                    <w:rPr>
                      <w:rFonts w:hint="eastAsia" w:ascii="Times New Roman" w:hAnsi="Times New Roman" w:cs="Times New Roman"/>
                      <w:color w:val="auto"/>
                      <w:sz w:val="18"/>
                      <w:szCs w:val="18"/>
                      <w:highlight w:val="none"/>
                      <w:lang w:val="en-US" w:eastAsia="zh-CN"/>
                    </w:rPr>
                    <w:t>润滑油</w:t>
                  </w:r>
                  <w:r>
                    <w:rPr>
                      <w:rFonts w:hint="default" w:ascii="Times New Roman" w:hAnsi="Times New Roman" w:cs="Times New Roman"/>
                      <w:color w:val="auto"/>
                      <w:sz w:val="18"/>
                      <w:szCs w:val="18"/>
                      <w:highlight w:val="none"/>
                      <w:lang w:eastAsia="zh-CN"/>
                    </w:rPr>
                    <w:t>等采用</w:t>
                  </w:r>
                  <w:r>
                    <w:rPr>
                      <w:rFonts w:hint="default" w:ascii="Times New Roman" w:hAnsi="Times New Roman" w:cs="Times New Roman"/>
                      <w:color w:val="auto"/>
                      <w:sz w:val="18"/>
                      <w:szCs w:val="18"/>
                      <w:highlight w:val="none"/>
                      <w:lang w:val="en-US" w:eastAsia="zh-CN"/>
                    </w:rPr>
                    <w:t>密闭包装容器</w:t>
                  </w:r>
                  <w:r>
                    <w:rPr>
                      <w:rFonts w:hint="default" w:ascii="Times New Roman" w:hAnsi="Times New Roman" w:cs="Times New Roman"/>
                      <w:color w:val="auto"/>
                      <w:sz w:val="18"/>
                      <w:szCs w:val="18"/>
                      <w:highlight w:val="none"/>
                      <w:lang w:eastAsia="zh-CN"/>
                    </w:rPr>
                    <w:t>储存</w:t>
                  </w:r>
                </w:p>
              </w:tc>
              <w:tc>
                <w:tcPr>
                  <w:tcW w:w="516" w:type="pct"/>
                  <w:tcBorders>
                    <w:tl2br w:val="nil"/>
                    <w:tr2bl w:val="nil"/>
                  </w:tcBorders>
                  <w:noWrap w:val="0"/>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continue"/>
                  <w:tcBorders>
                    <w:tl2br w:val="nil"/>
                    <w:tr2bl w:val="nil"/>
                  </w:tcBorders>
                  <w:noWrap w:val="0"/>
                  <w:vAlign w:val="center"/>
                </w:tcPr>
                <w:p>
                  <w:pPr>
                    <w:jc w:val="center"/>
                    <w:rPr>
                      <w:rFonts w:hint="default" w:ascii="Times New Roman" w:hAnsi="Times New Roman" w:cs="Times New Roman"/>
                      <w:color w:val="auto"/>
                      <w:sz w:val="18"/>
                      <w:szCs w:val="18"/>
                      <w:highlight w:val="none"/>
                      <w:lang w:eastAsia="zh-CN"/>
                    </w:rPr>
                  </w:pPr>
                </w:p>
              </w:tc>
              <w:tc>
                <w:tcPr>
                  <w:tcW w:w="2270"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处置环节应将盛装过VOCs物料的包装容器、含VOCs废料（渣、液）、废吸附剂等通过加盖、封装等方式密闭，妥善存放，不得随意丢弃，7月15日前集中清运一次，交有资质的单位处置</w:t>
                  </w:r>
                </w:p>
              </w:tc>
              <w:tc>
                <w:tcPr>
                  <w:tcW w:w="1331" w:type="pct"/>
                  <w:tcBorders>
                    <w:tl2br w:val="nil"/>
                    <w:tr2bl w:val="nil"/>
                  </w:tcBorders>
                  <w:noWrap w:val="0"/>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废包装容器</w:t>
                  </w:r>
                  <w:r>
                    <w:rPr>
                      <w:rFonts w:hint="default" w:ascii="Times New Roman" w:hAnsi="Times New Roman" w:cs="Times New Roman"/>
                      <w:color w:val="auto"/>
                      <w:sz w:val="18"/>
                      <w:szCs w:val="18"/>
                      <w:highlight w:val="none"/>
                      <w:lang w:val="en-US" w:eastAsia="zh-CN"/>
                    </w:rPr>
                    <w:t>等</w:t>
                  </w:r>
                  <w:r>
                    <w:rPr>
                      <w:rFonts w:hint="default" w:ascii="Times New Roman" w:hAnsi="Times New Roman" w:cs="Times New Roman"/>
                      <w:color w:val="auto"/>
                      <w:sz w:val="18"/>
                      <w:szCs w:val="18"/>
                      <w:highlight w:val="none"/>
                      <w:lang w:eastAsia="zh-CN"/>
                    </w:rPr>
                    <w:t>密闭储存，定期委托有资质单位处置</w:t>
                  </w:r>
                </w:p>
              </w:tc>
              <w:tc>
                <w:tcPr>
                  <w:tcW w:w="516" w:type="pct"/>
                  <w:tcBorders>
                    <w:tl2br w:val="nil"/>
                    <w:tr2bl w:val="nil"/>
                  </w:tcBorders>
                  <w:noWrap w:val="0"/>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restar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三、聚焦治污设施“三率”，提升综合治理效率</w:t>
                  </w:r>
                </w:p>
              </w:tc>
              <w:tc>
                <w:tcPr>
                  <w:tcW w:w="2270"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将无组织排放转变为有组织排放进行控制，优先采用密闭设备、在密闭空间中操作或采用全密闭集气罩收集方式；对于采用局部集气罩的，距集气罩开口面最远处的VOCs无组织排放位置，控制风速不低于0.3米/秒</w:t>
                  </w:r>
                </w:p>
              </w:tc>
              <w:tc>
                <w:tcPr>
                  <w:tcW w:w="1331" w:type="pct"/>
                  <w:tcBorders>
                    <w:tl2br w:val="nil"/>
                    <w:tr2bl w:val="nil"/>
                  </w:tcBorders>
                  <w:noWrap w:val="0"/>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rPr>
                    <w:t>企业</w:t>
                  </w:r>
                  <w:r>
                    <w:rPr>
                      <w:rFonts w:hint="default" w:ascii="Times New Roman" w:hAnsi="Times New Roman" w:cs="Times New Roman"/>
                      <w:color w:val="auto"/>
                      <w:sz w:val="18"/>
                      <w:szCs w:val="18"/>
                      <w:highlight w:val="none"/>
                      <w:lang w:val="en-US" w:eastAsia="zh-CN"/>
                    </w:rPr>
                    <w:t>工艺</w:t>
                  </w:r>
                  <w:r>
                    <w:rPr>
                      <w:rFonts w:hint="default" w:ascii="Times New Roman" w:hAnsi="Times New Roman" w:cs="Times New Roman"/>
                      <w:color w:val="auto"/>
                      <w:sz w:val="18"/>
                      <w:szCs w:val="18"/>
                      <w:highlight w:val="none"/>
                    </w:rPr>
                    <w:t>废气</w:t>
                  </w:r>
                  <w:r>
                    <w:rPr>
                      <w:rFonts w:hint="default" w:ascii="Times New Roman" w:hAnsi="Times New Roman" w:cs="Times New Roman"/>
                      <w:color w:val="auto"/>
                      <w:sz w:val="18"/>
                      <w:szCs w:val="18"/>
                      <w:highlight w:val="none"/>
                      <w:lang w:val="en-US" w:eastAsia="zh-CN"/>
                    </w:rPr>
                    <w:t>经集气罩收集后送至二级活性炭吸附装置处理，最后通过15m高排气筒排放</w:t>
                  </w:r>
                </w:p>
              </w:tc>
              <w:tc>
                <w:tcPr>
                  <w:tcW w:w="516"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continue"/>
                  <w:tcBorders>
                    <w:tl2br w:val="nil"/>
                    <w:tr2bl w:val="nil"/>
                  </w:tcBorders>
                  <w:noWrap w:val="0"/>
                  <w:vAlign w:val="center"/>
                </w:tcPr>
                <w:p>
                  <w:pPr>
                    <w:jc w:val="center"/>
                    <w:rPr>
                      <w:rFonts w:hint="default" w:ascii="Times New Roman" w:hAnsi="Times New Roman" w:cs="Times New Roman"/>
                      <w:color w:val="auto"/>
                      <w:sz w:val="18"/>
                      <w:szCs w:val="18"/>
                      <w:highlight w:val="none"/>
                    </w:rPr>
                  </w:pPr>
                </w:p>
              </w:tc>
              <w:tc>
                <w:tcPr>
                  <w:tcW w:w="2270"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加强生产车间密闭管理，在符合安全生产、职业卫生相关规定前提下，采用自动卷帘门、密闭性好的塑钢门窗等，在非必要时保持关闭</w:t>
                  </w:r>
                </w:p>
              </w:tc>
              <w:tc>
                <w:tcPr>
                  <w:tcW w:w="1331"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加强生产车间密闭管理，在非必要时保持关闭</w:t>
                  </w:r>
                </w:p>
              </w:tc>
              <w:tc>
                <w:tcPr>
                  <w:tcW w:w="516"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Merge w:val="continue"/>
                  <w:tcBorders>
                    <w:tl2br w:val="nil"/>
                    <w:tr2bl w:val="nil"/>
                  </w:tcBorders>
                  <w:noWrap w:val="0"/>
                  <w:vAlign w:val="center"/>
                </w:tcPr>
                <w:p>
                  <w:pPr>
                    <w:jc w:val="center"/>
                    <w:rPr>
                      <w:rFonts w:hint="default" w:ascii="Times New Roman" w:hAnsi="Times New Roman" w:cs="Times New Roman"/>
                      <w:color w:val="auto"/>
                      <w:sz w:val="18"/>
                      <w:szCs w:val="18"/>
                      <w:highlight w:val="none"/>
                    </w:rPr>
                  </w:pPr>
                </w:p>
              </w:tc>
              <w:tc>
                <w:tcPr>
                  <w:tcW w:w="2270"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采用活性炭吸附技术的，应选择碘值不低于800毫克/克的活性炭，并按设计要求足量添加、及时更换</w:t>
                  </w:r>
                </w:p>
              </w:tc>
              <w:tc>
                <w:tcPr>
                  <w:tcW w:w="1331"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企业使用的活性炭碘值</w:t>
                  </w:r>
                  <w:r>
                    <w:rPr>
                      <w:rFonts w:hint="default" w:ascii="Times New Roman" w:hAnsi="Times New Roman" w:cs="Times New Roman"/>
                      <w:color w:val="auto"/>
                      <w:sz w:val="18"/>
                      <w:szCs w:val="18"/>
                      <w:highlight w:val="none"/>
                      <w:lang w:val="en-US" w:eastAsia="zh-CN"/>
                    </w:rPr>
                    <w:t>为800</w:t>
                  </w:r>
                  <w:r>
                    <w:rPr>
                      <w:rFonts w:hint="default" w:ascii="Times New Roman" w:hAnsi="Times New Roman" w:cs="Times New Roman"/>
                      <w:color w:val="auto"/>
                      <w:sz w:val="18"/>
                      <w:szCs w:val="18"/>
                      <w:highlight w:val="none"/>
                    </w:rPr>
                    <w:t>毫克/克，并按设计要求足量添加、及时更换</w:t>
                  </w:r>
                </w:p>
              </w:tc>
              <w:tc>
                <w:tcPr>
                  <w:tcW w:w="516" w:type="pct"/>
                  <w:tcBorders>
                    <w:tl2br w:val="nil"/>
                    <w:tr2bl w:val="nil"/>
                  </w:tcBorders>
                  <w:noWrap w:val="0"/>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tcBorders>
                    <w:tl2br w:val="nil"/>
                    <w:tr2bl w:val="nil"/>
                  </w:tcBorders>
                  <w:noWrap w:val="0"/>
                  <w:vAlign w:val="center"/>
                </w:tcPr>
                <w:p>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七、完善监测监控体系，提高精准治理水平</w:t>
                  </w:r>
                </w:p>
              </w:tc>
              <w:tc>
                <w:tcPr>
                  <w:tcW w:w="2270" w:type="pct"/>
                  <w:tcBorders>
                    <w:tl2br w:val="nil"/>
                    <w:tr2bl w:val="nil"/>
                  </w:tcBorders>
                  <w:noWrap w:val="0"/>
                  <w:vAlign w:val="center"/>
                </w:tcPr>
                <w:p>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重点区域要对石化、化工、包装印刷、工业涂装等行业VOCs自动监控设施建设和运行情况开展排查，达不到《固定污染源废气中非甲烷总烃排放连续监测技术指南（试行）》规范要求的及时整改</w:t>
                  </w:r>
                </w:p>
              </w:tc>
              <w:tc>
                <w:tcPr>
                  <w:tcW w:w="1331" w:type="pct"/>
                  <w:tcBorders>
                    <w:tl2br w:val="nil"/>
                    <w:tr2bl w:val="nil"/>
                  </w:tcBorders>
                  <w:noWrap w:val="0"/>
                  <w:vAlign w:val="center"/>
                </w:tcPr>
                <w:p>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企业不在相关行业内，无需安装自动监测</w:t>
                  </w:r>
                </w:p>
              </w:tc>
              <w:tc>
                <w:tcPr>
                  <w:tcW w:w="516" w:type="pct"/>
                  <w:tcBorders>
                    <w:tl2br w:val="nil"/>
                    <w:tr2bl w:val="nil"/>
                  </w:tcBorders>
                  <w:noWrap w:val="0"/>
                  <w:vAlign w:val="center"/>
                </w:tcPr>
                <w:p>
                  <w:pPr>
                    <w:jc w:val="center"/>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cs="Times New Roman"/>
                <w:b/>
                <w:bCs/>
                <w:color w:val="auto"/>
                <w:kern w:val="0"/>
                <w:sz w:val="21"/>
                <w:szCs w:val="21"/>
                <w:highlight w:val="none"/>
                <w:lang w:val="en-US" w:eastAsia="zh-CN" w:bidi="ar-SA"/>
              </w:rPr>
            </w:pPr>
            <w:r>
              <w:rPr>
                <w:rFonts w:hint="eastAsia" w:cs="Times New Roman"/>
                <w:b/>
                <w:bCs/>
                <w:color w:val="auto"/>
                <w:kern w:val="0"/>
                <w:sz w:val="21"/>
                <w:szCs w:val="21"/>
                <w:highlight w:val="none"/>
                <w:lang w:val="en-US" w:eastAsia="zh-CN" w:bidi="ar-SA"/>
              </w:rPr>
              <w:t>6</w:t>
            </w:r>
            <w:r>
              <w:rPr>
                <w:rFonts w:hint="default" w:cs="Times New Roman"/>
                <w:b/>
                <w:bCs/>
                <w:color w:val="auto"/>
                <w:kern w:val="0"/>
                <w:sz w:val="21"/>
                <w:szCs w:val="21"/>
                <w:highlight w:val="none"/>
                <w:lang w:val="en-US" w:eastAsia="zh-CN" w:bidi="ar-SA"/>
              </w:rPr>
              <w:t>、与《苏州市"三线一单"生态环境分区管控实施方案》(苏环办字[2020]313号)相符性分析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本项目位于苏州工业园区</w:t>
            </w:r>
            <w:r>
              <w:rPr>
                <w:rFonts w:hint="eastAsia"/>
                <w:lang w:val="en-US" w:eastAsia="zh-CN"/>
              </w:rPr>
              <w:t>星海街220号</w:t>
            </w:r>
            <w:r>
              <w:rPr>
                <w:rFonts w:hint="default" w:ascii="Times New Roman" w:hAnsi="Times New Roman" w:eastAsia="宋体" w:cs="Times New Roman"/>
                <w:color w:val="auto"/>
                <w:kern w:val="0"/>
                <w:sz w:val="21"/>
                <w:szCs w:val="21"/>
                <w:highlight w:val="none"/>
                <w:lang w:val="en-US" w:eastAsia="zh-CN"/>
              </w:rPr>
              <w:t>，对照《苏州市"三线一单"生态环境分区管控实施方案》(苏环办字[2020]313号)中苏州市环境管控单元名录，苏州工业园区属于重点管控单元，其具体生态环境管控要求及相符性见下表。</w:t>
            </w:r>
          </w:p>
          <w:p>
            <w:pPr>
              <w:pStyle w:val="7"/>
              <w:keepNext w:val="0"/>
              <w:keepLines w:val="0"/>
              <w:pageBreakBefore w:val="0"/>
              <w:widowControl w:val="0"/>
              <w:kinsoku/>
              <w:wordWrap/>
              <w:overflowPunct/>
              <w:topLinePunct w:val="0"/>
              <w:autoSpaceDE/>
              <w:autoSpaceDN/>
              <w:bidi w:val="0"/>
              <w:adjustRightInd/>
              <w:snapToGrid/>
              <w:spacing w:after="0" w:line="300" w:lineRule="exact"/>
              <w:ind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与《苏州市"三线一单"生态环境分区管控实施方案》(苏环办字[2020]313号)相符性一览表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3007"/>
              <w:gridCol w:w="2319"/>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t>类别</w:t>
                  </w:r>
                </w:p>
              </w:tc>
              <w:tc>
                <w:tcPr>
                  <w:tcW w:w="301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t>要求</w:t>
                  </w:r>
                </w:p>
              </w:tc>
              <w:tc>
                <w:tcPr>
                  <w:tcW w:w="232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t>项目情况</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bCs/>
                      <w:i w:val="0"/>
                      <w:caps w:val="0"/>
                      <w:color w:val="auto"/>
                      <w:spacing w:val="0"/>
                      <w:kern w:val="0"/>
                      <w:sz w:val="18"/>
                      <w:szCs w:val="18"/>
                      <w:highlight w:val="none"/>
                      <w:vertAlign w:val="baseline"/>
                      <w:lang w:val="en-US" w:eastAsia="zh-CN" w:bidi="ar"/>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空间布局约束</w:t>
                  </w: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禁止引进列入《产业结构调整指导目录》《江苏省工业和信息产业结构调整指导目录》《江苏省工业和信息产业结构调整、限制、淘汰目录及能源限额》淘汰类的产业；禁止引进列入《外商投资产业指导目录》禁止类的产业</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本项目不属于上述淘汰类、禁止类产业</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严格执行园区总体规划及规划环评中的提出的空间布局和产业准入要求，禁止引进不符合园区产业定位的项目</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本项目符合园区产业定位</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严格执行《江苏省太湖水污染防治条例》的分级保护要求，禁止引进不符合《条例》要求的项目</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本项目位于太湖三级保护区，不属于《条例》三级保护区禁止的内容</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严格执行《阳澄湖水源水质保护条例》相关管控要求</w:t>
                  </w:r>
                </w:p>
              </w:tc>
              <w:tc>
                <w:tcPr>
                  <w:tcW w:w="2326" w:type="dxa"/>
                  <w:tcBorders>
                    <w:tl2br w:val="nil"/>
                    <w:tr2bl w:val="nil"/>
                  </w:tcBorders>
                  <w:noWrap w:val="0"/>
                  <w:vAlign w:val="center"/>
                </w:tcPr>
                <w:p>
                  <w:pPr>
                    <w:pStyle w:val="6"/>
                    <w:spacing w:before="0" w:after="0" w:line="240" w:lineRule="auto"/>
                    <w:ind w:right="0" w:rightChars="0"/>
                    <w:jc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sz w:val="18"/>
                      <w:szCs w:val="18"/>
                      <w:highlight w:val="none"/>
                    </w:rPr>
                    <w:t>本项目不属于阳澄湖水源水质保护区</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严格执行《</w:t>
                  </w:r>
                  <w:r>
                    <w:rPr>
                      <w:rFonts w:hint="default" w:ascii="Times New Roman" w:hAnsi="Times New Roman" w:cs="Times New Roman"/>
                      <w:color w:val="auto"/>
                      <w:sz w:val="18"/>
                      <w:szCs w:val="18"/>
                      <w:highlight w:val="yellow"/>
                    </w:rPr>
                    <w:t>中华人</w:t>
                  </w:r>
                  <w:r>
                    <w:rPr>
                      <w:rFonts w:hint="eastAsia" w:cs="Times New Roman"/>
                      <w:color w:val="auto"/>
                      <w:sz w:val="18"/>
                      <w:szCs w:val="18"/>
                      <w:highlight w:val="yellow"/>
                      <w:lang w:val="en-US" w:eastAsia="zh-CN"/>
                    </w:rPr>
                    <w:t>民</w:t>
                  </w:r>
                  <w:r>
                    <w:rPr>
                      <w:rFonts w:hint="default" w:ascii="Times New Roman" w:hAnsi="Times New Roman" w:cs="Times New Roman"/>
                      <w:color w:val="auto"/>
                      <w:sz w:val="18"/>
                      <w:szCs w:val="18"/>
                      <w:highlight w:val="yellow"/>
                    </w:rPr>
                    <w:t>共和国长江保护法</w:t>
                  </w:r>
                  <w:r>
                    <w:rPr>
                      <w:rFonts w:hint="default" w:ascii="Times New Roman" w:hAnsi="Times New Roman" w:cs="Times New Roman"/>
                      <w:color w:val="auto"/>
                      <w:sz w:val="18"/>
                      <w:szCs w:val="18"/>
                      <w:highlight w:val="none"/>
                    </w:rPr>
                    <w:t>》</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本项目不属于长江相关管控区范围</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禁止引进列入上级生态环境负面清单的项目</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本项目不属于上级生态环境负面清单的项目</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污染物排放管控</w:t>
                  </w: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园区内企业污染物排放应满足相关国家、地方污染物排放标准要求</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本项目污染物排放满足国家、地方污染物排放标准要求</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园区污染物排放总量按照园区总体规划、规划环评及审查意见的要求进行管控</w:t>
                  </w:r>
                </w:p>
              </w:tc>
              <w:tc>
                <w:tcPr>
                  <w:tcW w:w="2326" w:type="dxa"/>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水污染物排放总量可在园区污水厂平衡，大气污染物排放总量需向当地环保部门申请，在区域内调剂</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根据区城环境质量改善目标，采取有效措施减少主要污染物排放总量，确保区城环境质量持续改善</w:t>
                  </w:r>
                </w:p>
              </w:tc>
              <w:tc>
                <w:tcPr>
                  <w:tcW w:w="2326" w:type="dxa"/>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本项目废气采取有效处理措施，减少污染物排放</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环境风险防控</w:t>
                  </w:r>
                </w:p>
              </w:tc>
              <w:tc>
                <w:tcPr>
                  <w:tcW w:w="30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left="-63" w:leftChars="-30" w:right="-63" w:rightChars="-3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建立以园区突发环境事件应急处置机构为核心，与地方政府和企事业单位应急处置机构联动的应急响应体系，加强应急物资装备储备，编制突发环境事件应急预案，定期开展演练。</w:t>
                  </w:r>
                </w:p>
              </w:tc>
              <w:tc>
                <w:tcPr>
                  <w:tcW w:w="23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ind w:left="-63" w:leftChars="-30" w:right="-63" w:rightChars="-3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企业应急物资满足要求，应急设施完备，建成后将完善</w:t>
                  </w:r>
                  <w:r>
                    <w:rPr>
                      <w:rFonts w:hint="default" w:ascii="Times New Roman" w:hAnsi="Times New Roman" w:eastAsia="宋体" w:cs="Times New Roman"/>
                      <w:color w:val="auto"/>
                      <w:sz w:val="18"/>
                      <w:szCs w:val="18"/>
                      <w:highlight w:val="none"/>
                    </w:rPr>
                    <w:t>突发环境事件应急预案</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定期开展演练</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生产、使用、储存危险化学品或其他存在环境风险的企事业单位，应当制定风险防范措施，编制突发环境事件应急预案，防止发生环境事故</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本项目涉及</w:t>
                  </w:r>
                  <w:r>
                    <w:rPr>
                      <w:rFonts w:hint="eastAsia" w:ascii="Times New Roman" w:hAnsi="Times New Roman" w:cs="Times New Roman"/>
                      <w:color w:val="auto"/>
                      <w:sz w:val="18"/>
                      <w:szCs w:val="18"/>
                      <w:highlight w:val="none"/>
                      <w:lang w:val="en-US" w:eastAsia="zh-CN"/>
                    </w:rPr>
                    <w:t>丁烷</w:t>
                  </w:r>
                  <w:r>
                    <w:rPr>
                      <w:rFonts w:hint="default" w:ascii="Times New Roman" w:hAnsi="Times New Roman" w:cs="Times New Roman"/>
                      <w:color w:val="auto"/>
                      <w:sz w:val="18"/>
                      <w:szCs w:val="18"/>
                      <w:highlight w:val="none"/>
                    </w:rPr>
                    <w:t>等</w:t>
                  </w:r>
                  <w:r>
                    <w:rPr>
                      <w:rFonts w:hint="default" w:ascii="Times New Roman" w:hAnsi="Times New Roman" w:cs="Times New Roman"/>
                      <w:color w:val="auto"/>
                      <w:sz w:val="18"/>
                      <w:szCs w:val="18"/>
                      <w:highlight w:val="none"/>
                      <w:lang w:val="en-US" w:eastAsia="zh-CN"/>
                    </w:rPr>
                    <w:t>风险物质</w:t>
                  </w:r>
                  <w:r>
                    <w:rPr>
                      <w:rFonts w:hint="default" w:ascii="Times New Roman" w:hAnsi="Times New Roman" w:cs="Times New Roman"/>
                      <w:color w:val="auto"/>
                      <w:sz w:val="18"/>
                      <w:szCs w:val="18"/>
                      <w:highlight w:val="none"/>
                    </w:rPr>
                    <w:t>，企业应当制定风险防范措施，编制突发环境事件应急预案</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加强环境影响跟踪监测，建立健全各环境要素监控体系，完善并落实园区日常环境监测与污染源监控计划</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本项目制定污染源监控计划</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restar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资源利用效率要求</w:t>
                  </w: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园区内企业清洁生产水平、单位工业增加值新鲜水耗和综合能耗应满足园区总体规划、规划环评及审查意见要求</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本项目清洁生产水平、单位工业增加值新鲜水耗和综合能耗应满足园区总体规划、规划环及审查意见要求</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Merge w:val="continue"/>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p>
              </w:tc>
              <w:tc>
                <w:tcPr>
                  <w:tcW w:w="301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禁止销售使用燃料为“III类”(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2326" w:type="dxa"/>
                  <w:tcBorders>
                    <w:tl2br w:val="nil"/>
                    <w:tr2bl w:val="nil"/>
                  </w:tcBorders>
                  <w:noWrap w:val="0"/>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本项目使用能源为电能</w:t>
                  </w:r>
                </w:p>
              </w:tc>
              <w:tc>
                <w:tcPr>
                  <w:tcW w:w="906" w:type="dxa"/>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pPr>
                  <w:r>
                    <w:rPr>
                      <w:rFonts w:hint="default" w:ascii="Times New Roman" w:hAnsi="Times New Roman" w:eastAsia="宋体" w:cs="Times New Roman"/>
                      <w:b w:val="0"/>
                      <w:i w:val="0"/>
                      <w:caps w:val="0"/>
                      <w:color w:val="auto"/>
                      <w:spacing w:val="0"/>
                      <w:kern w:val="0"/>
                      <w:sz w:val="18"/>
                      <w:szCs w:val="18"/>
                      <w:highlight w:val="none"/>
                      <w:vertAlign w:val="baseline"/>
                      <w:lang w:val="en-US" w:eastAsia="zh-CN" w:bidi="ar"/>
                    </w:rPr>
                    <w:t>相符</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b/>
                <w:bCs/>
                <w:color w:val="auto"/>
                <w:kern w:val="0"/>
                <w:sz w:val="21"/>
                <w:szCs w:val="21"/>
                <w:highlight w:val="none"/>
                <w:lang w:val="en-US" w:eastAsia="zh-CN"/>
              </w:rPr>
              <w:t>7</w:t>
            </w:r>
            <w:r>
              <w:rPr>
                <w:rFonts w:hint="default" w:ascii="Times New Roman" w:hAnsi="Times New Roman" w:eastAsia="宋体" w:cs="Times New Roman"/>
                <w:b/>
                <w:bCs/>
                <w:color w:val="auto"/>
                <w:kern w:val="0"/>
                <w:sz w:val="21"/>
                <w:szCs w:val="21"/>
                <w:highlight w:val="none"/>
                <w:lang w:val="en-US" w:eastAsia="zh-CN"/>
              </w:rPr>
              <w:t>、与“三线一单”相符性分析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①生态红线管控要求</w:t>
            </w:r>
          </w:p>
          <w:p>
            <w:pPr>
              <w:autoSpaceDE w:val="0"/>
              <w:autoSpaceDN w:val="0"/>
              <w:spacing w:line="360" w:lineRule="auto"/>
              <w:ind w:firstLine="42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 w:val="21"/>
                <w:szCs w:val="21"/>
                <w:highlight w:val="none"/>
                <w:lang w:val="en-US" w:eastAsia="zh-CN"/>
              </w:rPr>
              <w:t>对</w:t>
            </w:r>
            <w:r>
              <w:rPr>
                <w:rFonts w:hint="default" w:ascii="Times New Roman" w:hAnsi="Times New Roman" w:cs="Times New Roman"/>
                <w:color w:val="auto"/>
                <w:kern w:val="0"/>
                <w:szCs w:val="21"/>
              </w:rPr>
              <w:t>照《江苏省生态空间管控区域规划》（苏政发[2020]1号）、《江苏省政府关于印发江苏省“三线一单”生态环境分区管控方案的通知》（苏政发[2020]49号），本项目</w:t>
            </w:r>
            <w:r>
              <w:rPr>
                <w:rFonts w:hint="default" w:ascii="Times New Roman" w:hAnsi="Times New Roman" w:cs="Times New Roman"/>
                <w:color w:val="auto"/>
                <w:kern w:val="0"/>
                <w:szCs w:val="21"/>
                <w:highlight w:val="none"/>
              </w:rPr>
              <w:t>不在阳澄湖（工业园区）重要湿地、独墅湖重要湿地、金鸡湖重要湿地生态空间管控区域内，</w:t>
            </w:r>
            <w:r>
              <w:rPr>
                <w:rFonts w:hint="default" w:ascii="Times New Roman" w:hAnsi="Times New Roman" w:cs="Times New Roman"/>
                <w:color w:val="auto"/>
                <w:kern w:val="0"/>
                <w:szCs w:val="21"/>
              </w:rPr>
              <w:t>也不在阳澄湖苏州工业园区饮用水水源保护区</w:t>
            </w:r>
            <w:r>
              <w:rPr>
                <w:rFonts w:hint="default" w:ascii="Times New Roman" w:hAnsi="Times New Roman" w:cs="Times New Roman"/>
                <w:color w:val="auto"/>
                <w:kern w:val="0"/>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00" w:lineRule="exact"/>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表1-</w:t>
            </w:r>
            <w:r>
              <w:rPr>
                <w:rFonts w:hint="eastAsia" w:cs="Times New Roman"/>
                <w:b/>
                <w:bCs/>
                <w:color w:val="auto"/>
                <w:kern w:val="0"/>
                <w:sz w:val="21"/>
                <w:szCs w:val="21"/>
                <w:highlight w:val="none"/>
                <w:lang w:val="en-US" w:eastAsia="zh-CN"/>
              </w:rPr>
              <w:t>5</w:t>
            </w:r>
            <w:r>
              <w:rPr>
                <w:rFonts w:hint="default" w:ascii="Times New Roman" w:hAnsi="Times New Roman" w:eastAsia="宋体" w:cs="Times New Roman"/>
                <w:b/>
                <w:bCs/>
                <w:color w:val="auto"/>
                <w:kern w:val="0"/>
                <w:sz w:val="21"/>
                <w:szCs w:val="21"/>
                <w:highlight w:val="none"/>
                <w:lang w:val="en-US" w:eastAsia="zh-CN"/>
              </w:rPr>
              <w:t xml:space="preserve">  生态功能保护区域概况</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695"/>
              <w:gridCol w:w="724"/>
              <w:gridCol w:w="1630"/>
              <w:gridCol w:w="1010"/>
              <w:gridCol w:w="706"/>
              <w:gridCol w:w="713"/>
              <w:gridCol w:w="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restar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生态空间保护区域名称</w:t>
                  </w:r>
                </w:p>
              </w:tc>
              <w:tc>
                <w:tcPr>
                  <w:tcW w:w="502" w:type="pct"/>
                  <w:vMerge w:val="restart"/>
                  <w:tcBorders>
                    <w:tl2br w:val="nil"/>
                    <w:tr2bl w:val="nil"/>
                  </w:tcBorders>
                  <w:noWrap w:val="0"/>
                  <w:tcMar>
                    <w:left w:w="24" w:type="dxa"/>
                    <w:right w:w="24" w:type="dxa"/>
                  </w:tcMar>
                  <w:vAlign w:val="center"/>
                </w:tcPr>
                <w:p>
                  <w:pPr>
                    <w:adjustRightInd w:val="0"/>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主导生态功能</w:t>
                  </w:r>
                </w:p>
              </w:tc>
              <w:tc>
                <w:tcPr>
                  <w:tcW w:w="523" w:type="pct"/>
                  <w:vMerge w:val="restart"/>
                  <w:tcBorders>
                    <w:tl2br w:val="nil"/>
                    <w:tr2bl w:val="nil"/>
                  </w:tcBorders>
                  <w:noWrap w:val="0"/>
                  <w:tcMar>
                    <w:left w:w="24" w:type="dxa"/>
                    <w:right w:w="24" w:type="dxa"/>
                  </w:tcMar>
                  <w:vAlign w:val="center"/>
                </w:tcPr>
                <w:p>
                  <w:pPr>
                    <w:adjustRightInd w:val="0"/>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与本项目的位置关系</w:t>
                  </w:r>
                </w:p>
              </w:tc>
              <w:tc>
                <w:tcPr>
                  <w:tcW w:w="1906" w:type="pct"/>
                  <w:gridSpan w:val="2"/>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范围</w:t>
                  </w:r>
                </w:p>
              </w:tc>
              <w:tc>
                <w:tcPr>
                  <w:tcW w:w="1474" w:type="pct"/>
                  <w:gridSpan w:val="3"/>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面积（km</w:t>
                  </w:r>
                  <w:r>
                    <w:rPr>
                      <w:rFonts w:hint="default" w:ascii="Times New Roman" w:hAnsi="Times New Roman" w:cs="Times New Roman"/>
                      <w:b/>
                      <w:bCs/>
                      <w:color w:val="auto"/>
                      <w:sz w:val="18"/>
                      <w:szCs w:val="18"/>
                      <w:vertAlign w:val="superscript"/>
                    </w:rPr>
                    <w:t>2</w:t>
                  </w:r>
                  <w:r>
                    <w:rPr>
                      <w:rFonts w:hint="default" w:ascii="Times New Roman" w:hAnsi="Times New Roman" w:cs="Times New Roman"/>
                      <w:b/>
                      <w:bCs/>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Merge w:val="continue"/>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p>
              </w:tc>
              <w:tc>
                <w:tcPr>
                  <w:tcW w:w="502" w:type="pct"/>
                  <w:vMerge w:val="continue"/>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p>
              </w:tc>
              <w:tc>
                <w:tcPr>
                  <w:tcW w:w="523" w:type="pct"/>
                  <w:vMerge w:val="continue"/>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p>
              </w:tc>
              <w:tc>
                <w:tcPr>
                  <w:tcW w:w="1177" w:type="pct"/>
                  <w:tcBorders>
                    <w:tl2br w:val="nil"/>
                    <w:tr2bl w:val="nil"/>
                  </w:tcBorders>
                  <w:noWrap w:val="0"/>
                  <w:tcMar>
                    <w:left w:w="24" w:type="dxa"/>
                    <w:right w:w="24" w:type="dxa"/>
                  </w:tcMar>
                  <w:vAlign w:val="center"/>
                </w:tcPr>
                <w:p>
                  <w:pPr>
                    <w:adjustRightInd w:val="0"/>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国家级生态保护红线范围</w:t>
                  </w:r>
                </w:p>
              </w:tc>
              <w:tc>
                <w:tcPr>
                  <w:tcW w:w="729"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生态空间管控区域范围</w:t>
                  </w:r>
                </w:p>
              </w:tc>
              <w:tc>
                <w:tcPr>
                  <w:tcW w:w="510" w:type="pct"/>
                  <w:tcBorders>
                    <w:tl2br w:val="nil"/>
                    <w:tr2bl w:val="nil"/>
                  </w:tcBorders>
                  <w:noWrap w:val="0"/>
                  <w:tcMar>
                    <w:left w:w="24" w:type="dxa"/>
                    <w:right w:w="24" w:type="dxa"/>
                  </w:tcMar>
                  <w:vAlign w:val="center"/>
                </w:tcPr>
                <w:p>
                  <w:pPr>
                    <w:adjustRightInd w:val="0"/>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国家级生态保护红线面积</w:t>
                  </w:r>
                </w:p>
              </w:tc>
              <w:tc>
                <w:tcPr>
                  <w:tcW w:w="515" w:type="pct"/>
                  <w:tcBorders>
                    <w:tl2br w:val="nil"/>
                    <w:tr2bl w:val="nil"/>
                  </w:tcBorders>
                  <w:noWrap w:val="0"/>
                  <w:tcMar>
                    <w:left w:w="24" w:type="dxa"/>
                    <w:right w:w="24" w:type="dxa"/>
                  </w:tcMar>
                  <w:vAlign w:val="center"/>
                </w:tcPr>
                <w:p>
                  <w:pPr>
                    <w:adjustRightInd w:val="0"/>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生态空间管控区域范围面积</w:t>
                  </w:r>
                </w:p>
              </w:tc>
              <w:tc>
                <w:tcPr>
                  <w:tcW w:w="448" w:type="pct"/>
                  <w:tcBorders>
                    <w:tl2br w:val="nil"/>
                    <w:tr2bl w:val="nil"/>
                  </w:tcBorders>
                  <w:noWrap w:val="0"/>
                  <w:tcMar>
                    <w:left w:w="24" w:type="dxa"/>
                    <w:right w:w="24" w:type="dxa"/>
                  </w:tcMar>
                  <w:vAlign w:val="center"/>
                </w:tcPr>
                <w:p>
                  <w:pPr>
                    <w:adjustRightInd w:val="0"/>
                    <w:ind w:left="-42" w:leftChars="-20" w:right="-42" w:rightChars="-2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总面积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阳澄湖（工业园区）重要湿地</w:t>
                  </w:r>
                </w:p>
              </w:tc>
              <w:tc>
                <w:tcPr>
                  <w:tcW w:w="502"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湿地生态系统保护</w:t>
                  </w:r>
                </w:p>
              </w:tc>
              <w:tc>
                <w:tcPr>
                  <w:tcW w:w="523" w:type="pct"/>
                  <w:tcBorders>
                    <w:tl2br w:val="nil"/>
                    <w:tr2bl w:val="nil"/>
                  </w:tcBorders>
                  <w:noWrap w:val="0"/>
                  <w:tcMar>
                    <w:left w:w="24" w:type="dxa"/>
                    <w:right w:w="24"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项目北</w:t>
                  </w:r>
                </w:p>
                <w:p>
                  <w:pPr>
                    <w:adjustRightInd w:val="0"/>
                    <w:snapToGrid w:val="0"/>
                    <w:jc w:val="center"/>
                    <w:rPr>
                      <w:rFonts w:hint="default" w:ascii="Times New Roman" w:hAnsi="Times New Roman"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km（距湖体）</w:t>
                  </w:r>
                </w:p>
              </w:tc>
              <w:tc>
                <w:tcPr>
                  <w:tcW w:w="1177"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29"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阳澄湖水域及沿岸纵深1000米范围</w:t>
                  </w:r>
                </w:p>
              </w:tc>
              <w:tc>
                <w:tcPr>
                  <w:tcW w:w="510"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15"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68.2</w:t>
                  </w:r>
                </w:p>
              </w:tc>
              <w:tc>
                <w:tcPr>
                  <w:tcW w:w="448"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阳澄湖苏州工业园区饮用水水源保护区</w:t>
                  </w:r>
                </w:p>
              </w:tc>
              <w:tc>
                <w:tcPr>
                  <w:tcW w:w="502"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水源水质保护</w:t>
                  </w:r>
                </w:p>
              </w:tc>
              <w:tc>
                <w:tcPr>
                  <w:tcW w:w="523" w:type="pct"/>
                  <w:tcBorders>
                    <w:tl2br w:val="nil"/>
                    <w:tr2bl w:val="nil"/>
                  </w:tcBorders>
                  <w:noWrap w:val="0"/>
                  <w:tcMar>
                    <w:left w:w="24" w:type="dxa"/>
                    <w:right w:w="24" w:type="dxa"/>
                  </w:tcMar>
                  <w:vAlign w:val="center"/>
                </w:tcPr>
                <w:p>
                  <w:pPr>
                    <w:adjustRightInd w:val="0"/>
                    <w:snapToGrid w:val="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项目</w:t>
                  </w:r>
                  <w:r>
                    <w:rPr>
                      <w:rFonts w:hint="eastAsia" w:ascii="Times New Roman" w:hAnsi="Times New Roman" w:cs="Times New Roman"/>
                      <w:color w:val="auto"/>
                      <w:sz w:val="18"/>
                      <w:szCs w:val="18"/>
                      <w:highlight w:val="none"/>
                      <w:lang w:val="en-US" w:eastAsia="zh-CN"/>
                    </w:rPr>
                    <w:t>东</w:t>
                  </w:r>
                  <w:r>
                    <w:rPr>
                      <w:rFonts w:hint="default" w:ascii="Times New Roman" w:hAnsi="Times New Roman" w:cs="Times New Roman"/>
                      <w:color w:val="auto"/>
                      <w:sz w:val="18"/>
                      <w:szCs w:val="18"/>
                      <w:highlight w:val="none"/>
                    </w:rPr>
                    <w:t>北</w:t>
                  </w:r>
                  <w:r>
                    <w:rPr>
                      <w:rFonts w:hint="eastAsia"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km</w:t>
                  </w:r>
                </w:p>
              </w:tc>
              <w:tc>
                <w:tcPr>
                  <w:tcW w:w="1177"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一级保护区：以园区阳澄湖水厂取水口（120°47′49″E， 31°23′19″N）为中心，半径500米范围内的区域。 二级保护区：一级保护区外，外延2000米的水域及相对应的本岸背水坡堤脚外100米之间的陆域。准保护区：二级保护区外外延1000米的陆域。</w:t>
                  </w:r>
                </w:p>
              </w:tc>
              <w:tc>
                <w:tcPr>
                  <w:tcW w:w="729"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10"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28.31</w:t>
                  </w:r>
                </w:p>
              </w:tc>
              <w:tc>
                <w:tcPr>
                  <w:tcW w:w="515"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48"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独墅湖重要湿地</w:t>
                  </w:r>
                </w:p>
              </w:tc>
              <w:tc>
                <w:tcPr>
                  <w:tcW w:w="502"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湿地生态系统保护</w:t>
                  </w:r>
                </w:p>
              </w:tc>
              <w:tc>
                <w:tcPr>
                  <w:tcW w:w="523" w:type="pct"/>
                  <w:tcBorders>
                    <w:tl2br w:val="nil"/>
                    <w:tr2bl w:val="nil"/>
                  </w:tcBorders>
                  <w:noWrap w:val="0"/>
                  <w:tcMar>
                    <w:left w:w="24" w:type="dxa"/>
                    <w:right w:w="24"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val="en-US" w:eastAsia="zh-CN"/>
                    </w:rPr>
                    <w:t>东</w:t>
                  </w:r>
                  <w:r>
                    <w:rPr>
                      <w:rFonts w:hint="default" w:ascii="Times New Roman" w:hAnsi="Times New Roman" w:cs="Times New Roman"/>
                      <w:color w:val="auto"/>
                      <w:sz w:val="18"/>
                      <w:szCs w:val="18"/>
                      <w:highlight w:val="none"/>
                    </w:rPr>
                    <w:t>南</w:t>
                  </w:r>
                </w:p>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3.9</w:t>
                  </w:r>
                  <w:r>
                    <w:rPr>
                      <w:rFonts w:hint="default" w:ascii="Times New Roman" w:hAnsi="Times New Roman" w:cs="Times New Roman"/>
                      <w:color w:val="auto"/>
                      <w:sz w:val="18"/>
                      <w:szCs w:val="18"/>
                      <w:highlight w:val="none"/>
                    </w:rPr>
                    <w:t>km</w:t>
                  </w:r>
                </w:p>
              </w:tc>
              <w:tc>
                <w:tcPr>
                  <w:tcW w:w="1177"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29"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独墅湖湖体范围</w:t>
                  </w:r>
                </w:p>
              </w:tc>
              <w:tc>
                <w:tcPr>
                  <w:tcW w:w="510"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15"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9.08</w:t>
                  </w:r>
                </w:p>
              </w:tc>
              <w:tc>
                <w:tcPr>
                  <w:tcW w:w="448"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金鸡湖重要湿地</w:t>
                  </w:r>
                </w:p>
              </w:tc>
              <w:tc>
                <w:tcPr>
                  <w:tcW w:w="502" w:type="pct"/>
                  <w:tcBorders>
                    <w:tl2br w:val="nil"/>
                    <w:tr2bl w:val="nil"/>
                  </w:tcBorders>
                  <w:noWrap w:val="0"/>
                  <w:tcMar>
                    <w:left w:w="24" w:type="dxa"/>
                    <w:right w:w="24" w:type="dxa"/>
                  </w:tcMar>
                  <w:vAlign w:val="center"/>
                </w:tcPr>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湿地生态系统保护</w:t>
                  </w:r>
                </w:p>
              </w:tc>
              <w:tc>
                <w:tcPr>
                  <w:tcW w:w="523" w:type="pct"/>
                  <w:tcBorders>
                    <w:tl2br w:val="nil"/>
                    <w:tr2bl w:val="nil"/>
                  </w:tcBorders>
                  <w:noWrap w:val="0"/>
                  <w:tcMar>
                    <w:left w:w="24" w:type="dxa"/>
                    <w:right w:w="24"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val="en-US" w:eastAsia="zh-CN"/>
                    </w:rPr>
                    <w:t>东南1.2</w:t>
                  </w:r>
                  <w:r>
                    <w:rPr>
                      <w:rFonts w:hint="default" w:ascii="Times New Roman" w:hAnsi="Times New Roman" w:cs="Times New Roman"/>
                      <w:color w:val="auto"/>
                      <w:sz w:val="18"/>
                      <w:szCs w:val="18"/>
                      <w:highlight w:val="none"/>
                    </w:rPr>
                    <w:t>km</w:t>
                  </w:r>
                </w:p>
              </w:tc>
              <w:tc>
                <w:tcPr>
                  <w:tcW w:w="1177"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29" w:type="pct"/>
                  <w:tcBorders>
                    <w:tl2br w:val="nil"/>
                    <w:tr2bl w:val="nil"/>
                  </w:tcBorders>
                  <w:noWrap w:val="0"/>
                  <w:tcMar>
                    <w:left w:w="24" w:type="dxa"/>
                    <w:right w:w="24" w:type="dxa"/>
                  </w:tcMar>
                  <w:vAlign w:val="center"/>
                </w:tcPr>
                <w:p>
                  <w:pPr>
                    <w:keepNext w:val="0"/>
                    <w:keepLines w:val="0"/>
                    <w:pageBreakBefore w:val="0"/>
                    <w:kinsoku/>
                    <w:wordWrap/>
                    <w:overflowPunct/>
                    <w:topLinePunct w:val="0"/>
                    <w:bidi w:val="0"/>
                    <w:adjustRightInd/>
                    <w:snapToGrid/>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金鸡湖湖体范围</w:t>
                  </w:r>
                </w:p>
              </w:tc>
              <w:tc>
                <w:tcPr>
                  <w:tcW w:w="510"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15"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6.77</w:t>
                  </w:r>
                </w:p>
              </w:tc>
              <w:tc>
                <w:tcPr>
                  <w:tcW w:w="448" w:type="pct"/>
                  <w:tcBorders>
                    <w:tl2br w:val="nil"/>
                    <w:tr2bl w:val="nil"/>
                  </w:tcBorders>
                  <w:noWrap w:val="0"/>
                  <w:tcMar>
                    <w:left w:w="24" w:type="dxa"/>
                    <w:right w:w="24" w:type="dxa"/>
                  </w:tcMar>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6.77</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②环境质量底线管控要求</w:t>
            </w:r>
          </w:p>
          <w:p>
            <w:pPr>
              <w:autoSpaceDE w:val="0"/>
              <w:autoSpaceDN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根据《20</w:t>
            </w:r>
            <w:r>
              <w:rPr>
                <w:rFonts w:hint="eastAsia" w:cs="Times New Roman"/>
                <w:color w:val="auto"/>
                <w:kern w:val="0"/>
                <w:szCs w:val="21"/>
                <w:lang w:val="en-US" w:eastAsia="zh-CN"/>
              </w:rPr>
              <w:t>20</w:t>
            </w:r>
            <w:r>
              <w:rPr>
                <w:rFonts w:hint="default" w:ascii="Times New Roman" w:hAnsi="Times New Roman" w:cs="Times New Roman"/>
                <w:color w:val="auto"/>
                <w:kern w:val="0"/>
                <w:szCs w:val="21"/>
              </w:rPr>
              <w:t>年苏州工业园区环境质量公报》，20</w:t>
            </w:r>
            <w:r>
              <w:rPr>
                <w:rFonts w:hint="eastAsia" w:cs="Times New Roman"/>
                <w:color w:val="auto"/>
                <w:kern w:val="0"/>
                <w:szCs w:val="21"/>
                <w:lang w:val="en-US" w:eastAsia="zh-CN"/>
              </w:rPr>
              <w:t>20</w:t>
            </w:r>
            <w:r>
              <w:rPr>
                <w:rFonts w:hint="default" w:ascii="Times New Roman" w:hAnsi="Times New Roman" w:cs="Times New Roman"/>
                <w:color w:val="auto"/>
                <w:kern w:val="0"/>
                <w:szCs w:val="21"/>
              </w:rPr>
              <w:t>年园区PM</w:t>
            </w:r>
            <w:r>
              <w:rPr>
                <w:rFonts w:hint="default" w:ascii="Times New Roman" w:hAnsi="Times New Roman" w:cs="Times New Roman"/>
                <w:color w:val="auto"/>
                <w:kern w:val="0"/>
                <w:szCs w:val="21"/>
                <w:vertAlign w:val="subscript"/>
              </w:rPr>
              <w:t>2.5</w:t>
            </w:r>
            <w:r>
              <w:rPr>
                <w:rFonts w:hint="eastAsia" w:cs="Times New Roman"/>
                <w:color w:val="auto"/>
                <w:kern w:val="0"/>
                <w:szCs w:val="21"/>
                <w:lang w:eastAsia="zh-CN"/>
              </w:rPr>
              <w:t>、</w:t>
            </w: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r>
              <w:rPr>
                <w:rFonts w:hint="eastAsia" w:cs="Times New Roman"/>
                <w:color w:val="auto"/>
                <w:kern w:val="0"/>
                <w:szCs w:val="21"/>
                <w:lang w:eastAsia="zh-CN"/>
              </w:rPr>
              <w:t>、</w:t>
            </w:r>
            <w:r>
              <w:rPr>
                <w:rFonts w:hint="default" w:ascii="Times New Roman" w:hAnsi="Times New Roman" w:cs="Times New Roman"/>
                <w:color w:val="auto"/>
                <w:kern w:val="0"/>
                <w:szCs w:val="21"/>
              </w:rPr>
              <w:t>SO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r>
              <w:rPr>
                <w:rFonts w:hint="default" w:ascii="Times New Roman" w:hAnsi="Times New Roman" w:cs="Times New Roman"/>
                <w:color w:val="auto"/>
                <w:kern w:val="0"/>
                <w:szCs w:val="21"/>
              </w:rPr>
              <w:t>、CO和O</w:t>
            </w:r>
            <w:r>
              <w:rPr>
                <w:rFonts w:hint="default" w:ascii="Times New Roman" w:hAnsi="Times New Roman" w:cs="Times New Roman"/>
                <w:color w:val="auto"/>
                <w:kern w:val="0"/>
                <w:szCs w:val="21"/>
                <w:vertAlign w:val="subscript"/>
              </w:rPr>
              <w:t>3</w:t>
            </w:r>
            <w:r>
              <w:rPr>
                <w:rFonts w:hint="eastAsia" w:cs="Times New Roman"/>
                <w:color w:val="auto"/>
                <w:kern w:val="0"/>
                <w:szCs w:val="21"/>
                <w:vertAlign w:val="baseline"/>
                <w:lang w:val="en-US" w:eastAsia="zh-CN"/>
              </w:rPr>
              <w:t>均</w:t>
            </w:r>
            <w:r>
              <w:rPr>
                <w:rFonts w:hint="default" w:ascii="Times New Roman" w:hAnsi="Times New Roman" w:cs="Times New Roman"/>
                <w:color w:val="auto"/>
                <w:kern w:val="0"/>
                <w:szCs w:val="21"/>
              </w:rPr>
              <w:t>达标，目前园区属于达标区；根据苏州市空气质量改善达标规划（2019～2024）的近期目标、远期目标及总体战略，经采取“优化产业结构和布局，提高各行业清洁化生产水平，全面执行大气污染物特别排放限值，不断推进重点行业提标改造”等一系列措施后，大气环境质量将有所改善。根据《2020年苏州工业园区区域环境质量状况（特征因子）》，地表水各项评价因子均满足《地表水环境质量标准》（GB3838-2002）IV类水标准。根据实测数据，厂界环境噪声满足《声环境质量标准》（GB3096-2008）3类标准。本项目产生的污染物经过合理有效的处理措施，可做到达标排放，项目建成后不会降低当地的环境功能要求。</w:t>
            </w:r>
          </w:p>
          <w:p>
            <w:pPr>
              <w:autoSpaceDE w:val="0"/>
              <w:autoSpaceDN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实施后会产生一定的污染物，但在采取相应的污染防治措施后，各类污染物的排放不会对周边环境造成不良影响，即不会改变区域环境功能区质量要求，能维持环境功能区质量现状。因此，本项目的建设不会突破当地环境质量底线。</w:t>
            </w:r>
          </w:p>
          <w:p>
            <w:pPr>
              <w:keepNext w:val="0"/>
              <w:keepLines w:val="0"/>
              <w:pageBreakBefore w:val="0"/>
              <w:widowControl w:val="0"/>
              <w:kinsoku/>
              <w:wordWrap/>
              <w:overflowPunct/>
              <w:topLinePunct w:val="0"/>
              <w:autoSpaceDE w:val="0"/>
              <w:autoSpaceDN w:val="0"/>
              <w:bidi w:val="0"/>
              <w:adjustRightInd/>
              <w:snapToGrid/>
              <w:spacing w:line="336"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③资源利用上线管控要求</w:t>
            </w:r>
          </w:p>
          <w:p>
            <w:pPr>
              <w:keepNext w:val="0"/>
              <w:keepLines w:val="0"/>
              <w:pageBreakBefore w:val="0"/>
              <w:widowControl w:val="0"/>
              <w:kinsoku/>
              <w:wordWrap/>
              <w:overflowPunct/>
              <w:topLinePunct w:val="0"/>
              <w:autoSpaceDE w:val="0"/>
              <w:autoSpaceDN w:val="0"/>
              <w:bidi w:val="0"/>
              <w:adjustRightInd/>
              <w:snapToGrid/>
              <w:spacing w:line="336"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本项目在现有厂区内进行</w:t>
            </w:r>
            <w:r>
              <w:rPr>
                <w:rFonts w:hint="eastAsia" w:cs="Times New Roman"/>
                <w:color w:val="auto"/>
                <w:kern w:val="0"/>
                <w:sz w:val="21"/>
                <w:szCs w:val="21"/>
                <w:highlight w:val="none"/>
                <w:lang w:val="en-US" w:eastAsia="zh-CN"/>
              </w:rPr>
              <w:t>技术改造</w:t>
            </w:r>
            <w:r>
              <w:rPr>
                <w:rFonts w:hint="default" w:ascii="Times New Roman" w:hAnsi="Times New Roman" w:eastAsia="宋体" w:cs="Times New Roman"/>
                <w:color w:val="auto"/>
                <w:kern w:val="0"/>
                <w:sz w:val="21"/>
                <w:szCs w:val="21"/>
                <w:highlight w:val="none"/>
                <w:lang w:val="en-US" w:eastAsia="zh-CN"/>
              </w:rPr>
              <w:t>；区域环保基础设施较为完善，用水来源为市政自来水，当地自来水厂能够满足本项目的用水要求；用电由市供电公司电网接入。项目资源消耗量相对区域资源利用总量较少，未超过上线。</w:t>
            </w:r>
          </w:p>
          <w:p>
            <w:pPr>
              <w:keepNext w:val="0"/>
              <w:keepLines w:val="0"/>
              <w:pageBreakBefore w:val="0"/>
              <w:widowControl w:val="0"/>
              <w:kinsoku/>
              <w:wordWrap/>
              <w:overflowPunct/>
              <w:topLinePunct w:val="0"/>
              <w:autoSpaceDE w:val="0"/>
              <w:autoSpaceDN w:val="0"/>
              <w:bidi w:val="0"/>
              <w:adjustRightInd/>
              <w:snapToGrid/>
              <w:spacing w:line="336"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④环境准入负面清单</w:t>
            </w:r>
          </w:p>
          <w:p>
            <w:pPr>
              <w:keepNext w:val="0"/>
              <w:keepLines w:val="0"/>
              <w:pageBreakBefore w:val="0"/>
              <w:widowControl w:val="0"/>
              <w:kinsoku/>
              <w:wordWrap/>
              <w:overflowPunct/>
              <w:topLinePunct w:val="0"/>
              <w:autoSpaceDE w:val="0"/>
              <w:autoSpaceDN w:val="0"/>
              <w:bidi w:val="0"/>
              <w:adjustRightInd/>
              <w:snapToGrid/>
              <w:spacing w:line="336"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苏州工业园区总体规划环评审查意见提出以下产业政策要求：“严格入区产业和项目的环境准入。制定严格的产业准入负面清单，禁止高污染、高耗能、高风险产业准入，禁止新建、改建、扩建化工、印染、造纸、电镀、危险化学品储存等项目。引进项目的生产工艺、设备、污染治理技术，以及单位产品能耗、物耗、污染物排放对照《长江经济带发展负面清单指南（试行）》（第89号）和《市场准入负面清单》（2020年版）等进行说明，具体见下表。</w:t>
            </w:r>
          </w:p>
          <w:p>
            <w:pPr>
              <w:keepNext w:val="0"/>
              <w:keepLines w:val="0"/>
              <w:pageBreakBefore w:val="0"/>
              <w:widowControl w:val="0"/>
              <w:kinsoku/>
              <w:wordWrap/>
              <w:overflowPunct/>
              <w:topLinePunct w:val="0"/>
              <w:autoSpaceDE w:val="0"/>
              <w:autoSpaceDN w:val="0"/>
              <w:bidi w:val="0"/>
              <w:adjustRightInd/>
              <w:snapToGrid/>
              <w:spacing w:line="336" w:lineRule="auto"/>
              <w:ind w:firstLine="422" w:firstLineChars="200"/>
              <w:jc w:val="center"/>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1-</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环境准入负面清单</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rPr>
              <w:t>相符性分析</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3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内容</w:t>
                  </w:r>
                </w:p>
              </w:tc>
              <w:tc>
                <w:tcPr>
                  <w:tcW w:w="3894"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《产业结构调整指导目录》 （2019年本）</w:t>
                  </w:r>
                </w:p>
              </w:tc>
              <w:tc>
                <w:tcPr>
                  <w:tcW w:w="389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本项目不属于</w:t>
                  </w:r>
                  <w:r>
                    <w:rPr>
                      <w:rFonts w:hint="default" w:ascii="Times New Roman" w:hAnsi="Times New Roman" w:cs="Times New Roman"/>
                      <w:color w:val="auto"/>
                      <w:sz w:val="18"/>
                      <w:szCs w:val="18"/>
                      <w:lang w:val="en-US" w:eastAsia="zh-CN"/>
                    </w:rPr>
                    <w:t>鼓励类、</w:t>
                  </w:r>
                  <w:r>
                    <w:rPr>
                      <w:rFonts w:hint="default" w:ascii="Times New Roman" w:hAnsi="Times New Roman" w:cs="Times New Roman"/>
                      <w:color w:val="auto"/>
                      <w:sz w:val="18"/>
                      <w:szCs w:val="18"/>
                    </w:rPr>
                    <w:t>限制</w:t>
                  </w:r>
                  <w:r>
                    <w:rPr>
                      <w:rFonts w:hint="default" w:ascii="Times New Roman" w:hAnsi="Times New Roman" w:cs="Times New Roman"/>
                      <w:color w:val="auto"/>
                      <w:sz w:val="18"/>
                      <w:szCs w:val="18"/>
                      <w:lang w:val="en-US" w:eastAsia="zh-CN"/>
                    </w:rPr>
                    <w:t>类、</w:t>
                  </w:r>
                  <w:r>
                    <w:rPr>
                      <w:rFonts w:hint="default" w:ascii="Times New Roman" w:hAnsi="Times New Roman" w:cs="Times New Roman"/>
                      <w:color w:val="auto"/>
                      <w:sz w:val="18"/>
                      <w:szCs w:val="18"/>
                    </w:rPr>
                    <w:t>淘汰类</w:t>
                  </w:r>
                  <w:r>
                    <w:rPr>
                      <w:rFonts w:hint="default" w:ascii="Times New Roman" w:hAnsi="Times New Roman" w:cs="Times New Roman"/>
                      <w:color w:val="auto"/>
                      <w:sz w:val="18"/>
                      <w:szCs w:val="18"/>
                      <w:lang w:val="en-US" w:eastAsia="zh-CN"/>
                    </w:rPr>
                    <w:t>项目</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为</w:t>
                  </w:r>
                  <w:r>
                    <w:rPr>
                      <w:rFonts w:hint="default" w:ascii="Times New Roman" w:hAnsi="Times New Roman" w:eastAsia="宋体" w:cs="Times New Roman"/>
                      <w:color w:val="auto"/>
                      <w:sz w:val="18"/>
                      <w:szCs w:val="18"/>
                    </w:rPr>
                    <w:t>允许类</w:t>
                  </w:r>
                  <w:r>
                    <w:rPr>
                      <w:rFonts w:hint="default" w:ascii="Times New Roman" w:hAnsi="Times New Roman" w:cs="Times New Roman"/>
                      <w:color w:val="auto"/>
                      <w:sz w:val="18"/>
                      <w:szCs w:val="18"/>
                    </w:rPr>
                    <w:t>，符合该文件的要求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sz w:val="18"/>
                      <w:szCs w:val="18"/>
                    </w:rPr>
                    <w:t>《江苏省工业和信息产业结构调整指导目录（2012年本）》 （2013修正版）</w:t>
                  </w:r>
                </w:p>
              </w:tc>
              <w:tc>
                <w:tcPr>
                  <w:tcW w:w="389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本</w:t>
                  </w: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未被列入鼓励类、</w:t>
                  </w:r>
                  <w:r>
                    <w:rPr>
                      <w:rFonts w:hint="default" w:ascii="Times New Roman" w:hAnsi="Times New Roman" w:cs="Times New Roman"/>
                      <w:color w:val="auto"/>
                      <w:sz w:val="18"/>
                      <w:szCs w:val="18"/>
                    </w:rPr>
                    <w:t>限制</w:t>
                  </w:r>
                  <w:r>
                    <w:rPr>
                      <w:rFonts w:hint="default" w:ascii="Times New Roman" w:hAnsi="Times New Roman" w:cs="Times New Roman"/>
                      <w:color w:val="auto"/>
                      <w:sz w:val="18"/>
                      <w:szCs w:val="18"/>
                      <w:lang w:val="en-US" w:eastAsia="zh-CN"/>
                    </w:rPr>
                    <w:t>类、</w:t>
                  </w:r>
                  <w:r>
                    <w:rPr>
                      <w:rFonts w:hint="default" w:ascii="Times New Roman" w:hAnsi="Times New Roman" w:cs="Times New Roman"/>
                      <w:color w:val="auto"/>
                      <w:sz w:val="18"/>
                      <w:szCs w:val="18"/>
                    </w:rPr>
                    <w:t>淘汰类</w:t>
                  </w:r>
                  <w:r>
                    <w:rPr>
                      <w:rFonts w:hint="default" w:ascii="Times New Roman" w:hAnsi="Times New Roman" w:cs="Times New Roman"/>
                      <w:color w:val="auto"/>
                      <w:sz w:val="18"/>
                      <w:szCs w:val="18"/>
                      <w:lang w:val="en-US" w:eastAsia="zh-CN"/>
                    </w:rPr>
                    <w:t>项目</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为</w:t>
                  </w:r>
                  <w:r>
                    <w:rPr>
                      <w:rFonts w:hint="default" w:ascii="Times New Roman" w:hAnsi="Times New Roman" w:eastAsia="宋体" w:cs="Times New Roman"/>
                      <w:color w:val="auto"/>
                      <w:sz w:val="18"/>
                      <w:szCs w:val="18"/>
                    </w:rPr>
                    <w:t>允许类</w:t>
                  </w:r>
                  <w:r>
                    <w:rPr>
                      <w:rFonts w:hint="default" w:ascii="Times New Roman" w:hAnsi="Times New Roman" w:cs="Times New Roman"/>
                      <w:color w:val="auto"/>
                      <w:sz w:val="18"/>
                      <w:szCs w:val="18"/>
                    </w:rPr>
                    <w:t>，符合该文件的要求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sz w:val="18"/>
                      <w:szCs w:val="18"/>
                    </w:rPr>
                    <w:t>《苏州市产业发展导向目录》 （苏府[2007]129号文）</w:t>
                  </w:r>
                </w:p>
              </w:tc>
              <w:tc>
                <w:tcPr>
                  <w:tcW w:w="389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本</w:t>
                  </w:r>
                  <w:r>
                    <w:rPr>
                      <w:rFonts w:hint="default" w:ascii="Times New Roman" w:hAnsi="Times New Roman" w:cs="Times New Roman"/>
                      <w:color w:val="auto"/>
                      <w:sz w:val="18"/>
                      <w:szCs w:val="18"/>
                    </w:rPr>
                    <w:t>项目不属于限制类、禁止类和淘汰类项目，</w:t>
                  </w:r>
                  <w:r>
                    <w:rPr>
                      <w:rFonts w:hint="default" w:ascii="Times New Roman" w:hAnsi="Times New Roman" w:cs="Times New Roman"/>
                      <w:color w:val="auto"/>
                      <w:sz w:val="18"/>
                      <w:szCs w:val="18"/>
                      <w:lang w:val="en-US" w:eastAsia="zh-CN"/>
                    </w:rPr>
                    <w:t>为</w:t>
                  </w:r>
                  <w:r>
                    <w:rPr>
                      <w:rFonts w:hint="default" w:ascii="Times New Roman" w:hAnsi="Times New Roman" w:eastAsia="宋体" w:cs="Times New Roman"/>
                      <w:color w:val="auto"/>
                      <w:sz w:val="18"/>
                      <w:szCs w:val="18"/>
                    </w:rPr>
                    <w:t>允许类</w:t>
                  </w:r>
                  <w:r>
                    <w:rPr>
                      <w:rFonts w:hint="default" w:ascii="Times New Roman" w:hAnsi="Times New Roman" w:cs="Times New Roman"/>
                      <w:color w:val="auto"/>
                      <w:sz w:val="18"/>
                      <w:szCs w:val="18"/>
                    </w:rPr>
                    <w:t>，符合该文件的要求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《江苏省工业和信息产业结构调整限制、淘汰目录和能耗限额》（苏政办发[2015]118号）</w:t>
                  </w:r>
                </w:p>
              </w:tc>
              <w:tc>
                <w:tcPr>
                  <w:tcW w:w="389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pacing w:val="-6"/>
                      <w:sz w:val="18"/>
                      <w:szCs w:val="18"/>
                      <w:lang w:val="en-US" w:eastAsia="zh-CN"/>
                    </w:rPr>
                    <w:t>本</w:t>
                  </w:r>
                  <w:r>
                    <w:rPr>
                      <w:rFonts w:hint="default" w:ascii="Times New Roman" w:hAnsi="Times New Roman" w:cs="Times New Roman"/>
                      <w:color w:val="auto"/>
                      <w:spacing w:val="-6"/>
                      <w:sz w:val="18"/>
                      <w:szCs w:val="18"/>
                    </w:rPr>
                    <w:t>项目不属于</w:t>
                  </w:r>
                  <w:r>
                    <w:rPr>
                      <w:rFonts w:hint="default" w:ascii="Times New Roman" w:hAnsi="Times New Roman" w:cs="Times New Roman"/>
                      <w:color w:val="auto"/>
                      <w:spacing w:val="-6"/>
                      <w:sz w:val="18"/>
                      <w:szCs w:val="18"/>
                      <w:lang w:val="en-US" w:eastAsia="zh-CN"/>
                    </w:rPr>
                    <w:t>鼓励类、限制类、禁止类和淘汰</w:t>
                  </w:r>
                  <w:r>
                    <w:rPr>
                      <w:rFonts w:hint="default" w:ascii="Times New Roman" w:hAnsi="Times New Roman" w:cs="Times New Roman"/>
                      <w:color w:val="auto"/>
                      <w:spacing w:val="-6"/>
                      <w:sz w:val="18"/>
                      <w:szCs w:val="18"/>
                    </w:rPr>
                    <w:t>类项目，</w:t>
                  </w:r>
                  <w:r>
                    <w:rPr>
                      <w:rFonts w:hint="default" w:ascii="Times New Roman" w:hAnsi="Times New Roman" w:cs="Times New Roman"/>
                      <w:color w:val="auto"/>
                      <w:spacing w:val="-6"/>
                      <w:sz w:val="18"/>
                      <w:szCs w:val="18"/>
                      <w:lang w:val="en-US" w:eastAsia="zh-CN"/>
                    </w:rPr>
                    <w:t>为</w:t>
                  </w:r>
                  <w:r>
                    <w:rPr>
                      <w:rFonts w:hint="default" w:ascii="Times New Roman" w:hAnsi="Times New Roman" w:eastAsia="宋体" w:cs="Times New Roman"/>
                      <w:color w:val="auto"/>
                      <w:spacing w:val="-6"/>
                      <w:sz w:val="18"/>
                      <w:szCs w:val="18"/>
                    </w:rPr>
                    <w:t>允许类</w:t>
                  </w:r>
                  <w:r>
                    <w:rPr>
                      <w:rFonts w:hint="default" w:ascii="Times New Roman" w:hAnsi="Times New Roman" w:cs="Times New Roman"/>
                      <w:color w:val="auto"/>
                      <w:spacing w:val="-6"/>
                      <w:sz w:val="18"/>
                      <w:szCs w:val="18"/>
                    </w:rPr>
                    <w:t>，符合该文件的要求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《江苏省产业结构调整限制、淘汰和禁止目录(苏办发[2018]32号附件三)》</w:t>
                  </w:r>
                </w:p>
              </w:tc>
              <w:tc>
                <w:tcPr>
                  <w:tcW w:w="389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本项目不属于</w:t>
                  </w:r>
                  <w:r>
                    <w:rPr>
                      <w:rFonts w:hint="default" w:ascii="Times New Roman" w:hAnsi="Times New Roman" w:eastAsia="宋体" w:cs="Times New Roman"/>
                      <w:color w:val="auto"/>
                      <w:sz w:val="18"/>
                      <w:szCs w:val="18"/>
                    </w:rPr>
                    <w:t>限制类、淘汰类及禁止类项目，</w:t>
                  </w:r>
                  <w:r>
                    <w:rPr>
                      <w:rFonts w:hint="default" w:ascii="Times New Roman" w:hAnsi="Times New Roman" w:cs="Times New Roman"/>
                      <w:color w:val="auto"/>
                      <w:sz w:val="18"/>
                      <w:szCs w:val="18"/>
                      <w:lang w:val="en-US" w:eastAsia="zh-CN"/>
                    </w:rPr>
                    <w:t>为</w:t>
                  </w:r>
                  <w:r>
                    <w:rPr>
                      <w:rFonts w:hint="default" w:ascii="Times New Roman" w:hAnsi="Times New Roman" w:eastAsia="宋体" w:cs="Times New Roman"/>
                      <w:color w:val="auto"/>
                      <w:sz w:val="18"/>
                      <w:szCs w:val="18"/>
                    </w:rPr>
                    <w:t>允许类</w:t>
                  </w:r>
                  <w:r>
                    <w:rPr>
                      <w:rFonts w:hint="default" w:ascii="Times New Roman" w:hAnsi="Times New Roman" w:cs="Times New Roman"/>
                      <w:color w:val="auto"/>
                      <w:sz w:val="18"/>
                      <w:szCs w:val="18"/>
                    </w:rPr>
                    <w:t>，符合该文件的要求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《环境保护综合目录》</w:t>
                  </w:r>
                </w:p>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（2017年版）</w:t>
                  </w:r>
                </w:p>
              </w:tc>
              <w:tc>
                <w:tcPr>
                  <w:tcW w:w="389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本项目产品不属于生态环境部发布的《环境保护综合目录》（2017年版）中的“高污染、高环境风险”产品目录，也未采用该目录中的重污染工艺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rPr>
                    <w:t>苏州工业园区总体规划及其审查意见</w:t>
                  </w:r>
                </w:p>
              </w:tc>
              <w:tc>
                <w:tcPr>
                  <w:tcW w:w="3894" w:type="dxa"/>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本项目</w:t>
                  </w:r>
                  <w:r>
                    <w:rPr>
                      <w:rFonts w:hint="default" w:ascii="Times New Roman" w:hAnsi="Times New Roman" w:eastAsia="宋体" w:cs="Times New Roman"/>
                      <w:color w:val="auto"/>
                      <w:sz w:val="18"/>
                      <w:szCs w:val="18"/>
                      <w:highlight w:val="none"/>
                    </w:rPr>
                    <w:t>不属于高污染、高耗能、高风险产业以及化工、印染、造纸、电镀、危险化学品储存等项目，不属于化工、造纸等不符合区域发展定位和环境保护要求的产业，不属于严格限制产业规模的纺织业</w:t>
                  </w:r>
                  <w:r>
                    <w:rPr>
                      <w:rFonts w:hint="default" w:ascii="Times New Roman" w:hAnsi="Times New Roman" w:eastAsia="宋体" w:cs="Times New Roman"/>
                      <w:color w:val="auto"/>
                      <w:sz w:val="18"/>
                      <w:szCs w:val="18"/>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《长江经济带发展负面清单指南（试行）》（第89号）</w:t>
                  </w:r>
                </w:p>
              </w:tc>
              <w:tc>
                <w:tcPr>
                  <w:tcW w:w="3894" w:type="dxa"/>
                  <w:tcBorders>
                    <w:tl2br w:val="nil"/>
                    <w:tr2bl w:val="nil"/>
                  </w:tcBorders>
                  <w:noWrap w:val="0"/>
                  <w:vAlign w:val="center"/>
                </w:tcPr>
                <w:p>
                  <w:pPr>
                    <w:pStyle w:val="30"/>
                    <w:bidi w:val="0"/>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对照《长江经济带发展负面清单指南（试行）》（第89号），本项目不在其规定的禁止项目内，故为允许建设项目</w:t>
                  </w:r>
                  <w:r>
                    <w:rPr>
                      <w:rFonts w:hint="default" w:ascii="Times New Roman" w:hAnsi="Times New Roman" w:cs="Times New Roman"/>
                      <w:color w:val="auto"/>
                      <w:sz w:val="18"/>
                      <w:szCs w:val="18"/>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《市场准入负面清单》</w:t>
                  </w:r>
                </w:p>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r>
                    <w:rPr>
                      <w:rFonts w:hint="default" w:ascii="Times New Roman" w:hAnsi="Times New Roman" w:eastAsia="宋体" w:cs="Times New Roman"/>
                      <w:color w:val="auto"/>
                      <w:sz w:val="18"/>
                      <w:szCs w:val="18"/>
                      <w:lang w:val="en-US" w:eastAsia="zh-CN"/>
                    </w:rPr>
                    <w:t>20</w:t>
                  </w:r>
                  <w:r>
                    <w:rPr>
                      <w:rFonts w:hint="default" w:ascii="Times New Roman" w:hAnsi="Times New Roman" w:eastAsia="宋体" w:cs="Times New Roman"/>
                      <w:color w:val="auto"/>
                      <w:sz w:val="18"/>
                      <w:szCs w:val="18"/>
                    </w:rPr>
                    <w:t xml:space="preserve"> 年版）</w:t>
                  </w:r>
                </w:p>
              </w:tc>
              <w:tc>
                <w:tcPr>
                  <w:tcW w:w="3894" w:type="dxa"/>
                  <w:tcBorders>
                    <w:tl2br w:val="nil"/>
                    <w:tr2bl w:val="nil"/>
                  </w:tcBorders>
                  <w:noWrap w:val="0"/>
                  <w:vAlign w:val="center"/>
                </w:tcPr>
                <w:p>
                  <w:pPr>
                    <w:pStyle w:val="30"/>
                    <w:bidi w:val="0"/>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经查《市场准入负面清单》（20</w:t>
                  </w:r>
                  <w:r>
                    <w:rPr>
                      <w:rFonts w:hint="default" w:ascii="Times New Roman" w:hAnsi="Times New Roman" w:cs="Times New Roman"/>
                      <w:color w:val="auto"/>
                      <w:sz w:val="18"/>
                      <w:szCs w:val="18"/>
                      <w:highlight w:val="none"/>
                      <w:lang w:val="en-US" w:eastAsia="zh-CN"/>
                    </w:rPr>
                    <w:t>20</w:t>
                  </w:r>
                  <w:r>
                    <w:rPr>
                      <w:rFonts w:hint="default" w:ascii="Times New Roman" w:hAnsi="Times New Roman" w:cs="Times New Roman"/>
                      <w:color w:val="auto"/>
                      <w:sz w:val="18"/>
                      <w:szCs w:val="18"/>
                      <w:highlight w:val="none"/>
                    </w:rPr>
                    <w:t>年版），项目不在其禁止准入类和限制准入类中</w:t>
                  </w:r>
                  <w:r>
                    <w:rPr>
                      <w:rFonts w:hint="default" w:ascii="Times New Roman" w:hAnsi="Times New Roman" w:cs="Times New Roman"/>
                      <w:color w:val="auto"/>
                      <w:sz w:val="18"/>
                      <w:szCs w:val="18"/>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0"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 xml:space="preserve">外商投资准入特别管理措施 </w:t>
                  </w:r>
                </w:p>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（负面清单）</w:t>
                  </w:r>
                </w:p>
              </w:tc>
              <w:tc>
                <w:tcPr>
                  <w:tcW w:w="3894" w:type="dxa"/>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本项目不在其规定的禁止项目内，故为允许建设项目</w:t>
                  </w:r>
                  <w:r>
                    <w:rPr>
                      <w:rFonts w:hint="default" w:ascii="Times New Roman" w:hAnsi="Times New Roman" w:cs="Times New Roman"/>
                      <w:color w:val="auto"/>
                      <w:sz w:val="18"/>
                      <w:szCs w:val="18"/>
                      <w:highlight w:val="none"/>
                      <w:lang w:eastAsia="zh-CN"/>
                    </w:rPr>
                    <w:t>。</w:t>
                  </w:r>
                </w:p>
              </w:tc>
            </w:tr>
          </w:tbl>
          <w:p>
            <w:pPr>
              <w:pStyle w:val="29"/>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综上所述，本项目符合“三线一单”的要求。</w:t>
            </w:r>
          </w:p>
          <w:p>
            <w:pPr>
              <w:pStyle w:val="29"/>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9、本项目与省大气办关于印发《江苏省挥发性有机物清洁原料替代工作方案》的通知（苏大气办〔2021〕2号）相符性分析</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一）明确替代要求。以工业涂装、包装印刷、木材加工、纺织（附件1）等行业为重点，分阶段推进3130家企业（附件2）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二）严格准入条件。禁止建设生产和使用高VOCs含量的涂料、油墨、胶粘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 38597-2020）。</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三）强化排查整治。各地在推动3130家企业实施源头替代的基础上，举一反三，对工业涂装、包装印刷、木材加工、纺织等涉VOCs重点行业进行再排查、再梳理，督促企业建立涂料等原辅材料购销台账，如实记录使用情况。对具备替代条件的，要列入治理清单，推动企业实施清洁原料替代；对替代技术尚不成熟的，要开展论证核实，并加强现场监管，确保VOCs无组织排放得到有效控制，废气排气口达到国家及地方VOCs排放控制标准要求。</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四）建立正面清单。各地要将全部生产水性、粉末、无溶剂、辐射固化涂料以及水性和辐射固化油墨、水基和半水基清洗剂、水基型和本体型胶粘剂的生产企业，生产的产品80%以上符合《低挥发性有机化合物含量涂料产品技术要求》（GB/T 38597-2020）的涂料生产企业，已经完全实施水性等低VOCs含量清洁原料替代，排放浓度稳定达标且排放速率、排放绩效等满足相关规定的企业，纳入正面清单管理，在重污染天气应对、环境执法检查、政府绿色采购等方面，给予政策倾斜；结合产业结构分布，各设区市需分别培育10家以上源头替代示范型企业。</w:t>
            </w:r>
          </w:p>
          <w:p>
            <w:pPr>
              <w:pStyle w:val="29"/>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五）完善标准制度。根据国家《低挥发性有机化合物含量涂料产品技术要求》，进一步完善地方行业涂装标准建设，细化相关行业涂料种类及各项污染物指标限值，年底前，出台工业涂装、工程机械和钢结构、包装印刷、木材加工、纺织染整、玻璃钢制品6个行业江苏省地方排放标准。我省范围内流通的水性涂料等低挥发性有机物含量涂料产品，鼓励在包装标志或产品说明上标明符合标准的分类、产品类别及产品类型。</w:t>
            </w:r>
          </w:p>
          <w:p>
            <w:pPr>
              <w:pStyle w:val="29"/>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ascii="宋体" w:hAnsi="宋体" w:cs="宋体"/>
                <w:kern w:val="0"/>
                <w:szCs w:val="21"/>
              </w:rPr>
            </w:pPr>
            <w:r>
              <w:rPr>
                <w:rFonts w:hint="eastAsia" w:ascii="Times New Roman" w:hAnsi="Times New Roman" w:eastAsia="宋体" w:cs="Times New Roman"/>
                <w:color w:val="auto"/>
                <w:kern w:val="0"/>
                <w:sz w:val="21"/>
                <w:szCs w:val="21"/>
                <w:highlight w:val="none"/>
                <w:lang w:val="en-US" w:eastAsia="zh-CN"/>
              </w:rPr>
              <w:t>企业在VOCs源头替代企业清单中，但2007年前已取消了喷漆项目，VOCs排放量大幅减少。本项目未使用高VOCs含量的涂料、油墨、胶粘剂等，</w:t>
            </w:r>
            <w:r>
              <w:rPr>
                <w:rFonts w:hint="eastAsia" w:ascii="Times New Roman" w:hAnsi="Times New Roman" w:cs="Times New Roman"/>
                <w:color w:val="auto"/>
                <w:kern w:val="0"/>
                <w:sz w:val="21"/>
                <w:szCs w:val="21"/>
                <w:highlight w:val="none"/>
                <w:lang w:val="en-US" w:eastAsia="zh-CN"/>
              </w:rPr>
              <w:t>使用的水性油墨挥发比例为2%，低于吸收性承印物柔印油墨5%的限值，符合《油墨中可挥发性有机化合物(VOCs)含量的限值》（GB38507-2020）要求，</w:t>
            </w:r>
            <w:r>
              <w:rPr>
                <w:rFonts w:hint="eastAsia" w:ascii="Times New Roman" w:hAnsi="Times New Roman" w:eastAsia="宋体" w:cs="Times New Roman"/>
                <w:color w:val="auto"/>
                <w:kern w:val="0"/>
                <w:sz w:val="21"/>
                <w:szCs w:val="21"/>
                <w:highlight w:val="none"/>
                <w:lang w:val="en-US" w:eastAsia="zh-CN"/>
              </w:rPr>
              <w:t>与省大气办关于印发《江苏省挥发性有机物清洁原料替代工作方案》的通知（苏大气办〔2021〕2号）相符。</w:t>
            </w: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8"/>
        <w:gridCol w:w="85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noWrap w:val="0"/>
            <w:vAlign w:val="center"/>
          </w:tcPr>
          <w:p>
            <w:pPr>
              <w:pStyle w:val="14"/>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522" w:type="dxa"/>
            <w:noWrap w:val="0"/>
            <w:vAlign w:val="top"/>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szCs w:val="24"/>
                <w:lang w:val="en-US" w:eastAsia="zh-CN"/>
              </w:rPr>
              <w:t>联塑</w:t>
            </w:r>
            <w:r>
              <w:rPr>
                <w:rFonts w:hint="default" w:ascii="Times New Roman" w:hAnsi="Times New Roman" w:cs="Times New Roman"/>
                <w:szCs w:val="24"/>
              </w:rPr>
              <w:t>（苏州）</w:t>
            </w:r>
            <w:r>
              <w:rPr>
                <w:rFonts w:hint="default" w:ascii="Times New Roman" w:hAnsi="Times New Roman" w:cs="Times New Roman"/>
                <w:szCs w:val="24"/>
                <w:lang w:val="en-US" w:eastAsia="zh-CN"/>
              </w:rPr>
              <w:t>精密工程</w:t>
            </w:r>
            <w:r>
              <w:rPr>
                <w:rFonts w:hint="default" w:ascii="Times New Roman" w:hAnsi="Times New Roman" w:cs="Times New Roman"/>
                <w:szCs w:val="24"/>
              </w:rPr>
              <w:t>有限公司</w:t>
            </w:r>
            <w:r>
              <w:rPr>
                <w:rFonts w:hint="default" w:ascii="Times New Roman" w:hAnsi="Times New Roman" w:eastAsia="宋体" w:cs="Times New Roman"/>
                <w:kern w:val="0"/>
                <w:sz w:val="21"/>
                <w:szCs w:val="21"/>
                <w:highlight w:val="none"/>
                <w:lang w:val="en-US" w:eastAsia="zh-CN"/>
              </w:rPr>
              <w:t>成立于200</w:t>
            </w:r>
            <w:r>
              <w:rPr>
                <w:rFonts w:hint="eastAsia"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lang w:val="en-US" w:eastAsia="zh-CN"/>
              </w:rPr>
              <w:t>年</w:t>
            </w:r>
            <w:r>
              <w:rPr>
                <w:rFonts w:hint="eastAsia"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lang w:val="en-US" w:eastAsia="zh-CN"/>
              </w:rPr>
              <w:t>月，位于苏州工业园区苏州工业园区星海街220号。公司经营范围为制造新型电子元器件，设计、生产、加工及组装注塑模具产品，机电元器件组装及销售，电子产品的生产和销售，销售本公司所生产的产品并从事相关的产品研发、咨询及售后服务；本公司生产产品的同类商品的批发、进出口、转口贸易、佣金代理（拍卖除外）及相关配套业务。（依法须经批准的项目，经相关部门批准的方可开展经营活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根据市场</w:t>
            </w:r>
            <w:r>
              <w:rPr>
                <w:rFonts w:hint="default" w:ascii="Times New Roman" w:hAnsi="Times New Roman" w:eastAsia="宋体" w:cs="Times New Roman"/>
                <w:kern w:val="0"/>
                <w:sz w:val="21"/>
                <w:szCs w:val="21"/>
                <w:highlight w:val="none"/>
                <w:lang w:val="en-US" w:eastAsia="zh-CN"/>
              </w:rPr>
              <w:t>需求，企业拟投资</w:t>
            </w:r>
            <w:r>
              <w:rPr>
                <w:rFonts w:hint="eastAsia" w:cs="Times New Roman"/>
                <w:kern w:val="0"/>
                <w:sz w:val="21"/>
                <w:szCs w:val="21"/>
                <w:highlight w:val="none"/>
                <w:lang w:val="en-US" w:eastAsia="zh-CN"/>
              </w:rPr>
              <w:t>300</w:t>
            </w:r>
            <w:r>
              <w:rPr>
                <w:rFonts w:hint="default" w:ascii="Times New Roman" w:hAnsi="Times New Roman" w:eastAsia="宋体" w:cs="Times New Roman"/>
                <w:kern w:val="0"/>
                <w:sz w:val="21"/>
                <w:szCs w:val="21"/>
                <w:highlight w:val="none"/>
                <w:lang w:val="en-US" w:eastAsia="zh-CN"/>
              </w:rPr>
              <w:t>万元</w:t>
            </w:r>
            <w:r>
              <w:rPr>
                <w:rFonts w:hint="eastAsia"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val="en-US" w:eastAsia="zh-CN"/>
              </w:rPr>
              <w:t>购入冷却塔循环水系统1套，注塑机5台，机械手4套，干燥机3台，模温机9台，操作台及工具1套等设备，对原有生产车间进行净化系统技术改造，改造完成后，洁净级别将达ISO7&amp;ISO8级，可投产高端医疗器械注塑和装配项目，拟扩建塑料制品34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宋体"/>
                <w:color w:val="000000"/>
                <w:kern w:val="2"/>
                <w:sz w:val="21"/>
                <w:szCs w:val="21"/>
                <w:shd w:val="clear" w:color="auto" w:fill="auto"/>
                <w:lang w:val="en-US" w:eastAsia="zh-CN" w:bidi="ar-SA"/>
              </w:rPr>
              <w:t>企业于</w:t>
            </w:r>
            <w:r>
              <w:rPr>
                <w:rFonts w:hint="eastAsia" w:ascii="Times New Roman" w:hAnsi="Times New Roman" w:eastAsia="宋体" w:cs="宋体"/>
                <w:color w:val="000000"/>
                <w:kern w:val="2"/>
                <w:sz w:val="21"/>
                <w:szCs w:val="21"/>
                <w:shd w:val="clear" w:color="auto" w:fill="auto"/>
                <w:lang w:val="en-US" w:eastAsia="zh-CN" w:bidi="ar-SA"/>
              </w:rPr>
              <w:t>2021</w:t>
            </w:r>
            <w:r>
              <w:rPr>
                <w:rFonts w:hint="default" w:ascii="Times New Roman" w:hAnsi="Times New Roman" w:eastAsia="宋体" w:cs="宋体"/>
                <w:color w:val="000000"/>
                <w:kern w:val="2"/>
                <w:sz w:val="21"/>
                <w:szCs w:val="21"/>
                <w:shd w:val="clear" w:color="auto" w:fill="auto"/>
                <w:lang w:val="en-US" w:eastAsia="zh-CN" w:bidi="ar-SA"/>
              </w:rPr>
              <w:t>年</w:t>
            </w:r>
            <w:r>
              <w:rPr>
                <w:rFonts w:hint="eastAsia" w:cs="宋体"/>
                <w:color w:val="000000"/>
                <w:kern w:val="2"/>
                <w:sz w:val="21"/>
                <w:szCs w:val="21"/>
                <w:shd w:val="clear" w:color="auto" w:fill="auto"/>
                <w:lang w:val="en-US" w:eastAsia="zh-CN" w:bidi="ar-SA"/>
              </w:rPr>
              <w:t>10</w:t>
            </w:r>
            <w:r>
              <w:rPr>
                <w:rFonts w:hint="default" w:ascii="Times New Roman" w:hAnsi="Times New Roman" w:eastAsia="宋体" w:cs="宋体"/>
                <w:color w:val="000000"/>
                <w:kern w:val="2"/>
                <w:sz w:val="21"/>
                <w:szCs w:val="21"/>
                <w:shd w:val="clear" w:color="auto" w:fill="auto"/>
                <w:lang w:val="en-US" w:eastAsia="zh-CN" w:bidi="ar-SA"/>
              </w:rPr>
              <w:t>月</w:t>
            </w:r>
            <w:r>
              <w:rPr>
                <w:rFonts w:hint="eastAsia" w:cs="宋体"/>
                <w:color w:val="000000"/>
                <w:kern w:val="2"/>
                <w:sz w:val="21"/>
                <w:szCs w:val="21"/>
                <w:shd w:val="clear" w:color="auto" w:fill="auto"/>
                <w:lang w:val="en-US" w:eastAsia="zh-CN" w:bidi="ar-SA"/>
              </w:rPr>
              <w:t>15</w:t>
            </w:r>
            <w:r>
              <w:rPr>
                <w:rFonts w:hint="default" w:ascii="Times New Roman" w:hAnsi="Times New Roman" w:eastAsia="宋体" w:cs="宋体"/>
                <w:color w:val="000000"/>
                <w:kern w:val="2"/>
                <w:sz w:val="21"/>
                <w:szCs w:val="21"/>
                <w:shd w:val="clear" w:color="auto" w:fill="auto"/>
                <w:lang w:val="en-US" w:eastAsia="zh-CN" w:bidi="ar-SA"/>
              </w:rPr>
              <w:t>日取得《</w:t>
            </w:r>
            <w:r>
              <w:rPr>
                <w:rFonts w:hint="eastAsia" w:cs="宋体"/>
                <w:color w:val="000000"/>
                <w:kern w:val="2"/>
                <w:sz w:val="21"/>
                <w:szCs w:val="21"/>
                <w:shd w:val="clear" w:color="auto" w:fill="auto"/>
                <w:lang w:val="en-US" w:eastAsia="zh-CN" w:bidi="ar-SA"/>
              </w:rPr>
              <w:t>联塑（苏州）精密工程有限公司医疗零件注塑和装配二期技术改造项目</w:t>
            </w:r>
            <w:r>
              <w:rPr>
                <w:rFonts w:hint="default" w:ascii="Times New Roman" w:hAnsi="Times New Roman" w:eastAsia="宋体" w:cs="宋体"/>
                <w:color w:val="000000"/>
                <w:kern w:val="2"/>
                <w:sz w:val="21"/>
                <w:szCs w:val="21"/>
                <w:shd w:val="clear" w:color="auto" w:fill="auto"/>
                <w:lang w:val="en-US" w:eastAsia="zh-CN" w:bidi="ar-SA"/>
              </w:rPr>
              <w:t>》的投资项目备案证（项目代码：2105-320571-89-02-212017</w:t>
            </w:r>
            <w:r>
              <w:rPr>
                <w:rFonts w:hint="eastAsia" w:ascii="Times New Roman" w:hAnsi="Times New Roman" w:eastAsia="宋体" w:cs="宋体"/>
                <w:color w:val="000000"/>
                <w:kern w:val="2"/>
                <w:sz w:val="21"/>
                <w:szCs w:val="21"/>
                <w:shd w:val="clear" w:color="auto" w:fill="auto"/>
                <w:lang w:val="en-US" w:eastAsia="zh-CN" w:bidi="ar-SA"/>
              </w:rPr>
              <w:t>）</w:t>
            </w:r>
            <w:r>
              <w:rPr>
                <w:rFonts w:hint="default" w:ascii="Times New Roman" w:hAnsi="Times New Roman" w:eastAsia="宋体" w:cs="宋体"/>
                <w:color w:val="000000"/>
                <w:kern w:val="2"/>
                <w:sz w:val="21"/>
                <w:szCs w:val="21"/>
                <w:shd w:val="clear" w:color="auto" w:fill="auto"/>
                <w:lang w:val="en-US" w:eastAsia="zh-CN" w:bidi="ar-SA"/>
              </w:rPr>
              <w:t>，</w:t>
            </w:r>
            <w:r>
              <w:rPr>
                <w:rFonts w:hint="default" w:ascii="Times New Roman" w:hAnsi="Times New Roman" w:eastAsia="宋体" w:cs="宋体"/>
                <w:color w:val="000000"/>
                <w:kern w:val="2"/>
                <w:sz w:val="21"/>
                <w:szCs w:val="21"/>
                <w:lang w:val="en-US" w:eastAsia="zh-CN" w:bidi="ar-SA"/>
              </w:rPr>
              <w:t>根据《中华人民共和国环境保护法》、《中华人民共和国环境影响评价法》、《建设项目环境保护管理条例》等法律、法规的规定，对照《建设项目环境影响评价分类管理名录》，（2021年版），本项目属于</w:t>
            </w:r>
            <w:r>
              <w:rPr>
                <w:rFonts w:hint="eastAsia" w:ascii="Times New Roman" w:hAnsi="Times New Roman" w:eastAsia="宋体" w:cs="宋体"/>
                <w:color w:val="000000"/>
                <w:kern w:val="2"/>
                <w:sz w:val="21"/>
                <w:szCs w:val="21"/>
                <w:lang w:val="en-US" w:eastAsia="zh-CN" w:bidi="ar-SA"/>
              </w:rPr>
              <w:t>“二十六、橡胶和塑料制品业 29  53 塑料制品业292中的其他”</w:t>
            </w:r>
            <w:r>
              <w:rPr>
                <w:rFonts w:hint="default" w:ascii="Times New Roman" w:hAnsi="Times New Roman" w:eastAsia="宋体" w:cs="宋体"/>
                <w:color w:val="000000"/>
                <w:kern w:val="2"/>
                <w:sz w:val="21"/>
                <w:szCs w:val="21"/>
                <w:lang w:val="en-US" w:eastAsia="zh-CN" w:bidi="ar-SA"/>
              </w:rPr>
              <w:t>，应编制环境影响报告表，</w:t>
            </w:r>
            <w:r>
              <w:rPr>
                <w:rFonts w:hint="default" w:ascii="Times New Roman" w:hAnsi="Times New Roman" w:eastAsia="宋体" w:cs="宋体"/>
                <w:color w:val="000000"/>
                <w:kern w:val="2"/>
                <w:sz w:val="21"/>
                <w:szCs w:val="21"/>
                <w:shd w:val="clear" w:color="auto" w:fill="auto"/>
                <w:lang w:val="en-US" w:eastAsia="zh-CN" w:bidi="ar-SA"/>
              </w:rPr>
              <w:t>联塑（苏州）精密工程有限公司</w:t>
            </w:r>
            <w:r>
              <w:rPr>
                <w:rFonts w:hint="default" w:ascii="Times New Roman" w:hAnsi="Times New Roman" w:eastAsia="宋体" w:cs="宋体"/>
                <w:color w:val="000000"/>
                <w:kern w:val="2"/>
                <w:sz w:val="21"/>
                <w:szCs w:val="21"/>
                <w:lang w:val="en-US" w:eastAsia="zh-CN" w:bidi="ar-SA"/>
              </w:rPr>
              <w:t>委托</w:t>
            </w:r>
            <w:r>
              <w:rPr>
                <w:rFonts w:hint="eastAsia" w:ascii="Times New Roman" w:hAnsi="Times New Roman" w:cs="宋体"/>
                <w:color w:val="000000"/>
                <w:kern w:val="2"/>
                <w:sz w:val="21"/>
                <w:szCs w:val="21"/>
                <w:lang w:val="en-US" w:eastAsia="zh-CN" w:bidi="ar-SA"/>
              </w:rPr>
              <w:t>我单位</w:t>
            </w:r>
            <w:r>
              <w:rPr>
                <w:rFonts w:hint="default" w:ascii="Times New Roman" w:hAnsi="Times New Roman" w:eastAsia="宋体" w:cs="宋体"/>
                <w:color w:val="000000"/>
                <w:kern w:val="2"/>
                <w:sz w:val="21"/>
                <w:szCs w:val="21"/>
                <w:lang w:val="en-US" w:eastAsia="zh-CN" w:bidi="ar-SA"/>
              </w:rPr>
              <w:t>编制《建设项目环境影响报告表》，我公司接受委托后即组织进行现场勘查、相关资料收集及其他相关工作，最终完成了《建设项目环境影响报告表》的编制。</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firstLine="422" w:firstLineChars="20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项目组成</w:t>
            </w:r>
          </w:p>
          <w:p>
            <w:pPr>
              <w:pStyle w:val="29"/>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w:t>
            </w:r>
            <w:r>
              <w:rPr>
                <w:rFonts w:hint="eastAsia" w:ascii="Times New Roman" w:hAnsi="Times New Roman" w:cs="Times New Roman"/>
                <w:b/>
                <w:sz w:val="21"/>
                <w:szCs w:val="21"/>
                <w:lang w:val="en-US" w:eastAsia="zh-CN"/>
              </w:rPr>
              <w:t>1</w:t>
            </w:r>
            <w:r>
              <w:rPr>
                <w:rFonts w:hint="default" w:ascii="Times New Roman" w:hAnsi="Times New Roman" w:cs="Times New Roman"/>
                <w:b/>
                <w:sz w:val="21"/>
                <w:szCs w:val="21"/>
                <w:lang w:val="en-US" w:eastAsia="zh-CN"/>
              </w:rPr>
              <w:t xml:space="preserve"> </w:t>
            </w:r>
            <w:r>
              <w:rPr>
                <w:rFonts w:hint="default" w:ascii="Times New Roman" w:hAnsi="Times New Roman" w:cs="Times New Roman"/>
                <w:b/>
                <w:bCs/>
                <w:color w:val="auto"/>
                <w:sz w:val="21"/>
                <w:szCs w:val="21"/>
                <w:lang w:val="en-US" w:eastAsia="zh-CN"/>
              </w:rPr>
              <w:t>项目组成情况一览表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4"/>
              <w:gridCol w:w="1314"/>
              <w:gridCol w:w="1467"/>
              <w:gridCol w:w="1467"/>
              <w:gridCol w:w="1472"/>
              <w:gridCol w:w="19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类别</w:t>
                  </w:r>
                </w:p>
              </w:tc>
              <w:tc>
                <w:tcPr>
                  <w:tcW w:w="791"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建设名称</w:t>
                  </w:r>
                </w:p>
              </w:tc>
              <w:tc>
                <w:tcPr>
                  <w:tcW w:w="2652" w:type="pct"/>
                  <w:gridSpan w:val="3"/>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项目设计能力</w:t>
                  </w:r>
                </w:p>
              </w:tc>
              <w:tc>
                <w:tcPr>
                  <w:tcW w:w="1186"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技改</w:t>
                  </w:r>
                  <w:r>
                    <w:rPr>
                      <w:rFonts w:hint="default" w:ascii="Times New Roman" w:hAnsi="Times New Roman" w:eastAsia="宋体" w:cs="Times New Roman"/>
                      <w:b/>
                      <w:bCs/>
                      <w:color w:val="auto"/>
                      <w:sz w:val="18"/>
                      <w:szCs w:val="18"/>
                      <w:highlight w:val="none"/>
                    </w:rPr>
                    <w:t>前</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技改</w:t>
                  </w:r>
                  <w:r>
                    <w:rPr>
                      <w:rFonts w:hint="default" w:ascii="Times New Roman" w:hAnsi="Times New Roman" w:eastAsia="宋体" w:cs="Times New Roman"/>
                      <w:b/>
                      <w:bCs/>
                      <w:color w:val="auto"/>
                      <w:sz w:val="18"/>
                      <w:szCs w:val="18"/>
                      <w:highlight w:val="none"/>
                    </w:rPr>
                    <w:t>后</w:t>
                  </w:r>
                </w:p>
              </w:tc>
              <w:tc>
                <w:tcPr>
                  <w:tcW w:w="885"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增减量</w:t>
                  </w:r>
                </w:p>
              </w:tc>
              <w:tc>
                <w:tcPr>
                  <w:tcW w:w="1186"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0"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主体</w:t>
                  </w:r>
                </w:p>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w:t>
                  </w:r>
                </w:p>
              </w:tc>
              <w:tc>
                <w:tcPr>
                  <w:tcW w:w="79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000000"/>
                      <w:kern w:val="0"/>
                      <w:sz w:val="18"/>
                      <w:szCs w:val="18"/>
                    </w:rPr>
                    <w:t>生产</w:t>
                  </w:r>
                  <w:r>
                    <w:rPr>
                      <w:rFonts w:hint="eastAsia" w:cs="Times New Roman"/>
                      <w:color w:val="000000"/>
                      <w:kern w:val="0"/>
                      <w:sz w:val="18"/>
                      <w:szCs w:val="18"/>
                      <w:lang w:val="en-US" w:eastAsia="zh-CN"/>
                    </w:rPr>
                    <w:t>车间</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yellow"/>
                    </w:rPr>
                  </w:pPr>
                  <w:r>
                    <w:rPr>
                      <w:rFonts w:hint="eastAsia" w:cs="Times New Roman"/>
                      <w:color w:val="auto"/>
                      <w:kern w:val="0"/>
                      <w:sz w:val="18"/>
                      <w:szCs w:val="18"/>
                      <w:highlight w:val="none"/>
                      <w:lang w:val="en-US" w:eastAsia="zh-CN"/>
                    </w:rPr>
                    <w:t>1600</w:t>
                  </w:r>
                  <w:r>
                    <w:rPr>
                      <w:rFonts w:hint="default" w:ascii="Times New Roman" w:hAnsi="Times New Roman" w:eastAsia="宋体" w:cs="Times New Roman"/>
                      <w:color w:val="auto"/>
                      <w:kern w:val="0"/>
                      <w:sz w:val="18"/>
                      <w:szCs w:val="18"/>
                      <w:highlight w:val="none"/>
                    </w:rPr>
                    <w:t>m</w:t>
                  </w:r>
                  <w:r>
                    <w:rPr>
                      <w:rFonts w:hint="default" w:ascii="Times New Roman" w:hAnsi="Times New Roman" w:eastAsia="宋体" w:cs="Times New Roman"/>
                      <w:color w:val="auto"/>
                      <w:kern w:val="0"/>
                      <w:sz w:val="18"/>
                      <w:szCs w:val="18"/>
                      <w:highlight w:val="none"/>
                      <w:vertAlign w:val="superscript"/>
                    </w:rPr>
                    <w:t>2</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yellow"/>
                    </w:rPr>
                  </w:pPr>
                  <w:r>
                    <w:rPr>
                      <w:rFonts w:hint="eastAsia" w:cs="Times New Roman"/>
                      <w:color w:val="auto"/>
                      <w:kern w:val="0"/>
                      <w:sz w:val="18"/>
                      <w:szCs w:val="18"/>
                      <w:highlight w:val="none"/>
                      <w:lang w:val="en-US" w:eastAsia="zh-CN"/>
                    </w:rPr>
                    <w:t>1600</w:t>
                  </w:r>
                  <w:r>
                    <w:rPr>
                      <w:rFonts w:hint="default" w:ascii="Times New Roman" w:hAnsi="Times New Roman" w:eastAsia="宋体" w:cs="Times New Roman"/>
                      <w:color w:val="auto"/>
                      <w:kern w:val="0"/>
                      <w:sz w:val="18"/>
                      <w:szCs w:val="18"/>
                      <w:highlight w:val="none"/>
                    </w:rPr>
                    <w:t>m</w:t>
                  </w:r>
                  <w:r>
                    <w:rPr>
                      <w:rFonts w:hint="default" w:ascii="Times New Roman" w:hAnsi="Times New Roman" w:eastAsia="宋体" w:cs="Times New Roman"/>
                      <w:color w:val="auto"/>
                      <w:kern w:val="0"/>
                      <w:sz w:val="18"/>
                      <w:szCs w:val="18"/>
                      <w:highlight w:val="none"/>
                      <w:vertAlign w:val="superscript"/>
                    </w:rPr>
                    <w:t>2</w:t>
                  </w:r>
                </w:p>
              </w:tc>
              <w:tc>
                <w:tcPr>
                  <w:tcW w:w="885"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lang w:val="en-US" w:eastAsia="zh-CN"/>
                    </w:rPr>
                    <w:t>0</w:t>
                  </w:r>
                </w:p>
              </w:tc>
              <w:tc>
                <w:tcPr>
                  <w:tcW w:w="118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000000"/>
                      <w:kern w:val="0"/>
                      <w:sz w:val="18"/>
                      <w:szCs w:val="18"/>
                    </w:rPr>
                    <w:t>依托</w:t>
                  </w:r>
                  <w:r>
                    <w:rPr>
                      <w:rFonts w:hint="default" w:ascii="Times New Roman" w:hAnsi="Times New Roman" w:eastAsia="宋体" w:cs="Times New Roman"/>
                      <w:color w:val="000000"/>
                      <w:kern w:val="0"/>
                      <w:sz w:val="18"/>
                      <w:szCs w:val="18"/>
                      <w:lang w:eastAsia="zh-CN"/>
                    </w:rPr>
                    <w:t>原</w:t>
                  </w:r>
                  <w:r>
                    <w:rPr>
                      <w:rFonts w:hint="default" w:ascii="Times New Roman" w:hAnsi="Times New Roman" w:eastAsia="宋体" w:cs="Times New Roman"/>
                      <w:color w:val="000000"/>
                      <w:kern w:val="0"/>
                      <w:sz w:val="18"/>
                      <w:szCs w:val="18"/>
                    </w:rPr>
                    <w:t>有厂房进行生产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贮运</w:t>
                  </w:r>
                </w:p>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w:t>
                  </w:r>
                </w:p>
              </w:tc>
              <w:tc>
                <w:tcPr>
                  <w:tcW w:w="79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eastAsia="zh-CN"/>
                    </w:rPr>
                  </w:pPr>
                  <w:r>
                    <w:rPr>
                      <w:rFonts w:hint="eastAsia" w:cs="Times New Roman"/>
                      <w:color w:val="000000"/>
                      <w:kern w:val="0"/>
                      <w:sz w:val="18"/>
                      <w:szCs w:val="18"/>
                      <w:lang w:val="en-US" w:eastAsia="zh-CN"/>
                    </w:rPr>
                    <w:t>化学品库</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auto"/>
                      <w:kern w:val="0"/>
                      <w:sz w:val="18"/>
                      <w:szCs w:val="18"/>
                      <w:lang w:val="en-US" w:eastAsia="zh-CN"/>
                    </w:rPr>
                    <w:t>5</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p>
              </w:tc>
              <w:tc>
                <w:tcPr>
                  <w:tcW w:w="885"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lang w:val="en-US" w:eastAsia="zh-CN"/>
                    </w:rPr>
                    <w:t>0</w:t>
                  </w:r>
                </w:p>
              </w:tc>
              <w:tc>
                <w:tcPr>
                  <w:tcW w:w="1186" w:type="pc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000000"/>
                      <w:kern w:val="0"/>
                      <w:sz w:val="18"/>
                      <w:szCs w:val="18"/>
                    </w:rPr>
                    <w:t>依托</w:t>
                  </w:r>
                  <w:r>
                    <w:rPr>
                      <w:rFonts w:hint="default" w:ascii="Times New Roman" w:hAnsi="Times New Roman" w:eastAsia="宋体" w:cs="Times New Roman"/>
                      <w:color w:val="000000"/>
                      <w:kern w:val="0"/>
                      <w:sz w:val="18"/>
                      <w:szCs w:val="18"/>
                      <w:lang w:eastAsia="zh-CN"/>
                    </w:rPr>
                    <w:t>原</w:t>
                  </w:r>
                  <w:r>
                    <w:rPr>
                      <w:rFonts w:hint="default" w:ascii="Times New Roman" w:hAnsi="Times New Roman" w:eastAsia="宋体" w:cs="Times New Roman"/>
                      <w:color w:val="000000"/>
                      <w:kern w:val="0"/>
                      <w:sz w:val="18"/>
                      <w:szCs w:val="18"/>
                    </w:rPr>
                    <w:t>有</w:t>
                  </w:r>
                  <w:r>
                    <w:rPr>
                      <w:rFonts w:hint="eastAsia" w:cs="Times New Roman"/>
                      <w:color w:val="000000"/>
                      <w:kern w:val="0"/>
                      <w:sz w:val="18"/>
                      <w:szCs w:val="18"/>
                      <w:lang w:val="en-US" w:eastAsia="zh-CN"/>
                    </w:rPr>
                    <w:t>成品</w:t>
                  </w:r>
                  <w:r>
                    <w:rPr>
                      <w:rFonts w:hint="default" w:ascii="Times New Roman" w:hAnsi="Times New Roman" w:eastAsia="宋体" w:cs="Times New Roman"/>
                      <w:color w:val="000000"/>
                      <w:kern w:val="0"/>
                      <w:sz w:val="18"/>
                      <w:szCs w:val="18"/>
                      <w:lang w:eastAsia="zh-CN"/>
                    </w:rPr>
                    <w:t>仓库进行</w:t>
                  </w:r>
                  <w:r>
                    <w:rPr>
                      <w:rFonts w:hint="default" w:ascii="Times New Roman" w:hAnsi="Times New Roman" w:eastAsia="宋体" w:cs="Times New Roman"/>
                      <w:color w:val="000000"/>
                      <w:kern w:val="0"/>
                      <w:sz w:val="18"/>
                      <w:szCs w:val="18"/>
                    </w:rPr>
                    <w:t>原辅料堆放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000000"/>
                      <w:kern w:val="0"/>
                      <w:sz w:val="18"/>
                      <w:szCs w:val="18"/>
                    </w:rPr>
                    <w:t>成品</w:t>
                  </w:r>
                  <w:r>
                    <w:rPr>
                      <w:rFonts w:hint="eastAsia" w:cs="Times New Roman"/>
                      <w:color w:val="000000"/>
                      <w:kern w:val="0"/>
                      <w:sz w:val="18"/>
                      <w:szCs w:val="18"/>
                      <w:lang w:val="en-US" w:eastAsia="zh-CN"/>
                    </w:rPr>
                    <w:t>仓库</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0"/>
                      <w:sz w:val="18"/>
                      <w:szCs w:val="18"/>
                      <w:lang w:val="en-US" w:eastAsia="zh-CN"/>
                    </w:rPr>
                    <w:t>900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0"/>
                      <w:sz w:val="18"/>
                      <w:szCs w:val="18"/>
                      <w:lang w:val="en-US" w:eastAsia="zh-CN"/>
                    </w:rPr>
                    <w:t>900</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p>
              </w:tc>
              <w:tc>
                <w:tcPr>
                  <w:tcW w:w="885"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lang w:val="en-US" w:eastAsia="zh-CN"/>
                    </w:rPr>
                    <w:t>0</w:t>
                  </w:r>
                </w:p>
              </w:tc>
              <w:tc>
                <w:tcPr>
                  <w:tcW w:w="118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000000"/>
                      <w:kern w:val="0"/>
                      <w:sz w:val="18"/>
                      <w:szCs w:val="18"/>
                    </w:rPr>
                    <w:t>依托</w:t>
                  </w:r>
                  <w:r>
                    <w:rPr>
                      <w:rFonts w:hint="default" w:ascii="Times New Roman" w:hAnsi="Times New Roman" w:eastAsia="宋体" w:cs="Times New Roman"/>
                      <w:color w:val="000000"/>
                      <w:kern w:val="0"/>
                      <w:sz w:val="18"/>
                      <w:szCs w:val="18"/>
                      <w:lang w:eastAsia="zh-CN"/>
                    </w:rPr>
                    <w:t>原</w:t>
                  </w:r>
                  <w:r>
                    <w:rPr>
                      <w:rFonts w:hint="default" w:ascii="Times New Roman" w:hAnsi="Times New Roman" w:eastAsia="宋体" w:cs="Times New Roman"/>
                      <w:color w:val="000000"/>
                      <w:kern w:val="0"/>
                      <w:sz w:val="18"/>
                      <w:szCs w:val="18"/>
                    </w:rPr>
                    <w:t>有</w:t>
                  </w:r>
                  <w:r>
                    <w:rPr>
                      <w:rFonts w:hint="default" w:ascii="Times New Roman" w:hAnsi="Times New Roman" w:eastAsia="宋体" w:cs="Times New Roman"/>
                      <w:color w:val="000000"/>
                      <w:kern w:val="0"/>
                      <w:sz w:val="18"/>
                      <w:szCs w:val="18"/>
                      <w:lang w:eastAsia="zh-CN"/>
                    </w:rPr>
                    <w:t>成品仓库</w:t>
                  </w:r>
                  <w:r>
                    <w:rPr>
                      <w:rFonts w:hint="eastAsia" w:cs="Times New Roman"/>
                      <w:color w:val="000000"/>
                      <w:kern w:val="0"/>
                      <w:sz w:val="18"/>
                      <w:szCs w:val="18"/>
                      <w:lang w:eastAsia="zh-CN"/>
                    </w:rPr>
                    <w:t>，</w:t>
                  </w:r>
                  <w:r>
                    <w:rPr>
                      <w:rFonts w:hint="eastAsia" w:cs="Times New Roman"/>
                      <w:color w:val="000000"/>
                      <w:kern w:val="0"/>
                      <w:sz w:val="18"/>
                      <w:szCs w:val="18"/>
                      <w:lang w:val="en-US" w:eastAsia="zh-CN"/>
                    </w:rPr>
                    <w:t>在货架上分类存放</w:t>
                  </w:r>
                  <w:r>
                    <w:rPr>
                      <w:rFonts w:hint="default" w:ascii="Times New Roman" w:hAnsi="Times New Roman" w:eastAsia="宋体" w:cs="Times New Roman"/>
                      <w:color w:val="000000"/>
                      <w:kern w:val="0"/>
                      <w:sz w:val="18"/>
                      <w:szCs w:val="18"/>
                    </w:rPr>
                    <w:t>成品</w:t>
                  </w:r>
                  <w:r>
                    <w:rPr>
                      <w:rFonts w:hint="eastAsia" w:cs="Times New Roman"/>
                      <w:color w:val="000000"/>
                      <w:kern w:val="0"/>
                      <w:sz w:val="18"/>
                      <w:szCs w:val="18"/>
                      <w:lang w:eastAsia="zh-CN"/>
                    </w:rPr>
                    <w:t>、</w:t>
                  </w:r>
                  <w:r>
                    <w:rPr>
                      <w:rFonts w:hint="eastAsia" w:cs="Times New Roman"/>
                      <w:color w:val="000000"/>
                      <w:kern w:val="0"/>
                      <w:sz w:val="18"/>
                      <w:szCs w:val="18"/>
                      <w:lang w:val="en-US" w:eastAsia="zh-CN"/>
                    </w:rPr>
                    <w:t>半成品原料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000000"/>
                      <w:kern w:val="0"/>
                      <w:sz w:val="18"/>
                      <w:szCs w:val="18"/>
                      <w:lang w:val="en-US" w:eastAsia="zh-CN"/>
                    </w:rPr>
                    <w:t>一般</w:t>
                  </w:r>
                  <w:r>
                    <w:rPr>
                      <w:rFonts w:hint="default" w:ascii="Times New Roman" w:hAnsi="Times New Roman" w:eastAsia="宋体" w:cs="Times New Roman"/>
                      <w:color w:val="000000"/>
                      <w:kern w:val="0"/>
                      <w:sz w:val="18"/>
                      <w:szCs w:val="18"/>
                    </w:rPr>
                    <w:t>固废</w:t>
                  </w:r>
                  <w:r>
                    <w:rPr>
                      <w:rFonts w:hint="eastAsia" w:cs="Times New Roman"/>
                      <w:color w:val="000000"/>
                      <w:kern w:val="0"/>
                      <w:sz w:val="18"/>
                      <w:szCs w:val="18"/>
                      <w:lang w:val="en-US" w:eastAsia="zh-CN"/>
                    </w:rPr>
                    <w:t>仓库</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auto"/>
                      <w:kern w:val="0"/>
                      <w:sz w:val="18"/>
                      <w:szCs w:val="18"/>
                      <w:lang w:val="en-US" w:eastAsia="zh-CN"/>
                    </w:rPr>
                    <w:t>12</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auto"/>
                      <w:kern w:val="0"/>
                      <w:sz w:val="18"/>
                      <w:szCs w:val="18"/>
                      <w:lang w:val="en-US" w:eastAsia="zh-CN"/>
                    </w:rPr>
                    <w:t>12</w:t>
                  </w:r>
                  <w:r>
                    <w:rPr>
                      <w:rFonts w:hint="default" w:ascii="Times New Roman" w:hAnsi="Times New Roman" w:eastAsia="宋体" w:cs="Times New Roman"/>
                      <w:color w:val="auto"/>
                      <w:kern w:val="0"/>
                      <w:sz w:val="18"/>
                      <w:szCs w:val="18"/>
                    </w:rPr>
                    <w:t>m</w:t>
                  </w:r>
                  <w:r>
                    <w:rPr>
                      <w:rFonts w:hint="default" w:ascii="Times New Roman" w:hAnsi="Times New Roman" w:eastAsia="宋体" w:cs="Times New Roman"/>
                      <w:color w:val="auto"/>
                      <w:kern w:val="0"/>
                      <w:sz w:val="18"/>
                      <w:szCs w:val="18"/>
                      <w:vertAlign w:val="superscript"/>
                    </w:rPr>
                    <w:t>2</w:t>
                  </w:r>
                </w:p>
              </w:tc>
              <w:tc>
                <w:tcPr>
                  <w:tcW w:w="885"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lang w:val="en-US" w:eastAsia="zh-CN"/>
                    </w:rPr>
                    <w:t>0</w:t>
                  </w:r>
                </w:p>
              </w:tc>
              <w:tc>
                <w:tcPr>
                  <w:tcW w:w="118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000000"/>
                      <w:kern w:val="0"/>
                      <w:sz w:val="18"/>
                      <w:szCs w:val="18"/>
                    </w:rPr>
                    <w:t>依托</w:t>
                  </w:r>
                  <w:r>
                    <w:rPr>
                      <w:rFonts w:hint="default" w:ascii="Times New Roman" w:hAnsi="Times New Roman" w:eastAsia="宋体" w:cs="Times New Roman"/>
                      <w:color w:val="000000"/>
                      <w:kern w:val="0"/>
                      <w:sz w:val="18"/>
                      <w:szCs w:val="18"/>
                      <w:lang w:eastAsia="zh-CN"/>
                    </w:rPr>
                    <w:t>原</w:t>
                  </w:r>
                  <w:r>
                    <w:rPr>
                      <w:rFonts w:hint="default" w:ascii="Times New Roman" w:hAnsi="Times New Roman" w:eastAsia="宋体" w:cs="Times New Roman"/>
                      <w:color w:val="000000"/>
                      <w:kern w:val="0"/>
                      <w:sz w:val="18"/>
                      <w:szCs w:val="18"/>
                    </w:rPr>
                    <w:t>有</w:t>
                  </w:r>
                  <w:r>
                    <w:rPr>
                      <w:rFonts w:hint="default" w:ascii="Times New Roman" w:hAnsi="Times New Roman" w:eastAsia="宋体" w:cs="Times New Roman"/>
                      <w:color w:val="000000"/>
                      <w:kern w:val="0"/>
                      <w:sz w:val="18"/>
                      <w:szCs w:val="18"/>
                      <w:lang w:eastAsia="zh-CN"/>
                    </w:rPr>
                    <w:t>固废仓库进行</w:t>
                  </w:r>
                  <w:r>
                    <w:rPr>
                      <w:rFonts w:hint="default" w:ascii="Times New Roman" w:hAnsi="Times New Roman" w:eastAsia="宋体" w:cs="Times New Roman"/>
                      <w:color w:val="000000"/>
                      <w:kern w:val="0"/>
                      <w:sz w:val="18"/>
                      <w:szCs w:val="18"/>
                    </w:rPr>
                    <w:t>一般固废堆存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000000"/>
                      <w:kern w:val="0"/>
                      <w:sz w:val="18"/>
                      <w:szCs w:val="18"/>
                      <w:lang w:val="en-US" w:eastAsia="zh-CN"/>
                    </w:rPr>
                    <w:t>危废</w:t>
                  </w:r>
                  <w:r>
                    <w:rPr>
                      <w:rFonts w:hint="eastAsia" w:cs="Times New Roman"/>
                      <w:color w:val="000000"/>
                      <w:kern w:val="0"/>
                      <w:sz w:val="18"/>
                      <w:szCs w:val="18"/>
                      <w:lang w:val="en-US" w:eastAsia="zh-CN"/>
                    </w:rPr>
                    <w:t>仓库</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0"/>
                      <w:sz w:val="18"/>
                      <w:szCs w:val="18"/>
                      <w:lang w:val="en-US" w:eastAsia="zh-CN"/>
                    </w:rPr>
                    <w:t>12</w:t>
                  </w:r>
                  <w:r>
                    <w:rPr>
                      <w:rFonts w:hint="default" w:ascii="Times New Roman" w:hAnsi="Times New Roman" w:eastAsia="宋体" w:cs="Times New Roman"/>
                      <w:color w:val="auto"/>
                      <w:kern w:val="0"/>
                      <w:sz w:val="18"/>
                      <w:szCs w:val="18"/>
                      <w:lang w:val="en-US" w:eastAsia="zh-CN"/>
                    </w:rPr>
                    <w:t>m</w:t>
                  </w:r>
                  <w:r>
                    <w:rPr>
                      <w:rFonts w:hint="default" w:ascii="Times New Roman" w:hAnsi="Times New Roman" w:eastAsia="宋体" w:cs="Times New Roman"/>
                      <w:color w:val="auto"/>
                      <w:kern w:val="0"/>
                      <w:sz w:val="18"/>
                      <w:szCs w:val="18"/>
                      <w:vertAlign w:val="superscript"/>
                      <w:lang w:val="en-US" w:eastAsia="zh-CN"/>
                    </w:rPr>
                    <w:t>2</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0"/>
                      <w:sz w:val="18"/>
                      <w:szCs w:val="18"/>
                      <w:lang w:val="en-US" w:eastAsia="zh-CN"/>
                    </w:rPr>
                    <w:t>12</w:t>
                  </w:r>
                  <w:r>
                    <w:rPr>
                      <w:rFonts w:hint="default" w:ascii="Times New Roman" w:hAnsi="Times New Roman" w:eastAsia="宋体" w:cs="Times New Roman"/>
                      <w:color w:val="auto"/>
                      <w:kern w:val="0"/>
                      <w:sz w:val="18"/>
                      <w:szCs w:val="18"/>
                      <w:lang w:val="en-US" w:eastAsia="zh-CN"/>
                    </w:rPr>
                    <w:t>m</w:t>
                  </w:r>
                  <w:r>
                    <w:rPr>
                      <w:rFonts w:hint="default" w:ascii="Times New Roman" w:hAnsi="Times New Roman" w:eastAsia="宋体" w:cs="Times New Roman"/>
                      <w:color w:val="auto"/>
                      <w:kern w:val="0"/>
                      <w:sz w:val="18"/>
                      <w:szCs w:val="18"/>
                      <w:vertAlign w:val="superscript"/>
                      <w:lang w:val="en-US" w:eastAsia="zh-CN"/>
                    </w:rPr>
                    <w:t>2</w:t>
                  </w:r>
                </w:p>
              </w:tc>
              <w:tc>
                <w:tcPr>
                  <w:tcW w:w="885"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0"/>
                      <w:sz w:val="18"/>
                      <w:szCs w:val="18"/>
                      <w:lang w:val="en-US" w:eastAsia="zh-CN"/>
                    </w:rPr>
                    <w:t>0</w:t>
                  </w:r>
                </w:p>
              </w:tc>
              <w:tc>
                <w:tcPr>
                  <w:tcW w:w="118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000000"/>
                      <w:kern w:val="0"/>
                      <w:sz w:val="18"/>
                      <w:szCs w:val="18"/>
                    </w:rPr>
                    <w:t>依托</w:t>
                  </w:r>
                  <w:r>
                    <w:rPr>
                      <w:rFonts w:hint="default" w:ascii="Times New Roman" w:hAnsi="Times New Roman" w:eastAsia="宋体" w:cs="Times New Roman"/>
                      <w:color w:val="000000"/>
                      <w:kern w:val="0"/>
                      <w:sz w:val="18"/>
                      <w:szCs w:val="18"/>
                      <w:lang w:eastAsia="zh-CN"/>
                    </w:rPr>
                    <w:t>原</w:t>
                  </w:r>
                  <w:r>
                    <w:rPr>
                      <w:rFonts w:hint="default" w:ascii="Times New Roman" w:hAnsi="Times New Roman" w:eastAsia="宋体" w:cs="Times New Roman"/>
                      <w:color w:val="000000"/>
                      <w:kern w:val="0"/>
                      <w:sz w:val="18"/>
                      <w:szCs w:val="18"/>
                    </w:rPr>
                    <w:t>有</w:t>
                  </w:r>
                  <w:r>
                    <w:rPr>
                      <w:rFonts w:hint="default" w:ascii="Times New Roman" w:hAnsi="Times New Roman" w:eastAsia="宋体" w:cs="Times New Roman"/>
                      <w:color w:val="000000"/>
                      <w:kern w:val="0"/>
                      <w:sz w:val="18"/>
                      <w:szCs w:val="18"/>
                      <w:lang w:eastAsia="zh-CN"/>
                    </w:rPr>
                    <w:t>危废仓库进行</w:t>
                  </w:r>
                  <w:r>
                    <w:rPr>
                      <w:rFonts w:hint="default" w:ascii="Times New Roman" w:hAnsi="Times New Roman" w:eastAsia="宋体" w:cs="Times New Roman"/>
                      <w:color w:val="000000"/>
                      <w:kern w:val="0"/>
                      <w:sz w:val="18"/>
                      <w:szCs w:val="18"/>
                      <w:lang w:val="en-US" w:eastAsia="zh-CN"/>
                    </w:rPr>
                    <w:t>危废</w:t>
                  </w:r>
                  <w:r>
                    <w:rPr>
                      <w:rFonts w:hint="default" w:ascii="Times New Roman" w:hAnsi="Times New Roman" w:eastAsia="宋体" w:cs="Times New Roman"/>
                      <w:color w:val="000000"/>
                      <w:kern w:val="0"/>
                      <w:sz w:val="18"/>
                      <w:szCs w:val="18"/>
                      <w:lang w:eastAsia="zh-CN"/>
                    </w:rPr>
                    <w:t>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000000"/>
                      <w:kern w:val="0"/>
                      <w:sz w:val="18"/>
                      <w:szCs w:val="18"/>
                      <w:lang w:val="en-US" w:eastAsia="zh-CN"/>
                    </w:rPr>
                    <w:t>办公区域</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auto"/>
                      <w:kern w:val="0"/>
                      <w:sz w:val="18"/>
                      <w:szCs w:val="18"/>
                      <w:lang w:val="en-US" w:eastAsia="zh-CN"/>
                    </w:rPr>
                    <w:t>13</w:t>
                  </w:r>
                  <w:r>
                    <w:rPr>
                      <w:rFonts w:hint="eastAsia" w:ascii="Times New Roman" w:hAnsi="Times New Roman" w:eastAsia="宋体" w:cs="Times New Roman"/>
                      <w:color w:val="auto"/>
                      <w:kern w:val="0"/>
                      <w:sz w:val="18"/>
                      <w:szCs w:val="18"/>
                      <w:lang w:val="en-US" w:eastAsia="zh-CN"/>
                    </w:rPr>
                    <w:t>00m</w:t>
                  </w:r>
                  <w:r>
                    <w:rPr>
                      <w:rFonts w:hint="eastAsia" w:ascii="Times New Roman" w:hAnsi="Times New Roman" w:eastAsia="宋体" w:cs="Times New Roman"/>
                      <w:color w:val="auto"/>
                      <w:kern w:val="0"/>
                      <w:sz w:val="18"/>
                      <w:szCs w:val="18"/>
                      <w:vertAlign w:val="superscript"/>
                      <w:lang w:val="en-US" w:eastAsia="zh-CN"/>
                    </w:rPr>
                    <w:t>2</w:t>
                  </w:r>
                </w:p>
              </w:tc>
              <w:tc>
                <w:tcPr>
                  <w:tcW w:w="883"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cs="Times New Roman"/>
                      <w:color w:val="auto"/>
                      <w:kern w:val="0"/>
                      <w:sz w:val="18"/>
                      <w:szCs w:val="18"/>
                      <w:lang w:val="en-US" w:eastAsia="zh-CN"/>
                    </w:rPr>
                    <w:t>13</w:t>
                  </w:r>
                  <w:r>
                    <w:rPr>
                      <w:rFonts w:hint="eastAsia" w:ascii="Times New Roman" w:hAnsi="Times New Roman" w:eastAsia="宋体" w:cs="Times New Roman"/>
                      <w:color w:val="auto"/>
                      <w:kern w:val="0"/>
                      <w:sz w:val="18"/>
                      <w:szCs w:val="18"/>
                      <w:lang w:val="en-US" w:eastAsia="zh-CN"/>
                    </w:rPr>
                    <w:t>00m</w:t>
                  </w:r>
                  <w:r>
                    <w:rPr>
                      <w:rFonts w:hint="eastAsia" w:ascii="Times New Roman" w:hAnsi="Times New Roman" w:eastAsia="宋体" w:cs="Times New Roman"/>
                      <w:color w:val="auto"/>
                      <w:kern w:val="0"/>
                      <w:sz w:val="18"/>
                      <w:szCs w:val="18"/>
                      <w:vertAlign w:val="superscript"/>
                      <w:lang w:val="en-US" w:eastAsia="zh-CN"/>
                    </w:rPr>
                    <w:t>2</w:t>
                  </w:r>
                </w:p>
              </w:tc>
              <w:tc>
                <w:tcPr>
                  <w:tcW w:w="885"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lang w:val="en-US" w:eastAsia="zh-CN"/>
                    </w:rPr>
                    <w:t>0</w:t>
                  </w:r>
                </w:p>
              </w:tc>
              <w:tc>
                <w:tcPr>
                  <w:tcW w:w="118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000000"/>
                      <w:kern w:val="0"/>
                      <w:sz w:val="18"/>
                      <w:szCs w:val="18"/>
                      <w:lang w:val="en-US" w:eastAsia="zh-CN"/>
                    </w:rPr>
                    <w:t>依托原有办公区域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运输</w:t>
                  </w:r>
                </w:p>
              </w:tc>
              <w:tc>
                <w:tcPr>
                  <w:tcW w:w="3838" w:type="pct"/>
                  <w:gridSpan w:val="4"/>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原料和产品均通过汽车运输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公用辅助</w:t>
                  </w:r>
                </w:p>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w:t>
                  </w: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给水</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val="en-US" w:eastAsia="zh-CN"/>
                    </w:rPr>
                    <w:t>12244</w:t>
                  </w:r>
                  <w:r>
                    <w:rPr>
                      <w:rFonts w:hint="default" w:ascii="Times New Roman" w:hAnsi="Times New Roman" w:eastAsia="宋体" w:cs="Times New Roman"/>
                      <w:color w:val="auto"/>
                      <w:sz w:val="18"/>
                      <w:szCs w:val="18"/>
                      <w:highlight w:val="none"/>
                      <w:lang w:eastAsia="zh-CN"/>
                    </w:rPr>
                    <w:t>t/a</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cs="Times New Roman"/>
                      <w:color w:val="auto"/>
                      <w:sz w:val="18"/>
                      <w:szCs w:val="18"/>
                      <w:highlight w:val="none"/>
                      <w:lang w:val="en-US" w:eastAsia="zh-CN"/>
                    </w:rPr>
                    <w:t>176</w:t>
                  </w:r>
                  <w:r>
                    <w:rPr>
                      <w:rFonts w:hint="eastAsia" w:ascii="Times New Roman" w:hAnsi="Times New Roman" w:eastAsia="宋体" w:cs="Times New Roman"/>
                      <w:color w:val="auto"/>
                      <w:sz w:val="18"/>
                      <w:szCs w:val="18"/>
                      <w:highlight w:val="none"/>
                      <w:lang w:val="en-US" w:eastAsia="zh-CN"/>
                    </w:rPr>
                    <w:t>0</w:t>
                  </w:r>
                  <w:r>
                    <w:rPr>
                      <w:rFonts w:hint="eastAsia" w:ascii="Times New Roman" w:hAnsi="Times New Roman"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lang w:eastAsia="zh-CN"/>
                    </w:rPr>
                    <w:t>t/a</w:t>
                  </w:r>
                </w:p>
              </w:tc>
              <w:tc>
                <w:tcPr>
                  <w:tcW w:w="885"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5362</w:t>
                  </w:r>
                  <w:r>
                    <w:rPr>
                      <w:rFonts w:hint="default" w:ascii="Times New Roman" w:hAnsi="Times New Roman" w:eastAsia="宋体" w:cs="Times New Roman"/>
                      <w:color w:val="auto"/>
                      <w:sz w:val="18"/>
                      <w:szCs w:val="18"/>
                      <w:highlight w:val="none"/>
                      <w:lang w:eastAsia="zh-CN"/>
                    </w:rPr>
                    <w:t>t/a</w:t>
                  </w:r>
                </w:p>
              </w:tc>
              <w:tc>
                <w:tcPr>
                  <w:tcW w:w="118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园区市政供水管网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雨水</w:t>
                  </w:r>
                </w:p>
              </w:tc>
              <w:tc>
                <w:tcPr>
                  <w:tcW w:w="3838" w:type="pct"/>
                  <w:gridSpan w:val="4"/>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依托</w:t>
                  </w:r>
                  <w:r>
                    <w:rPr>
                      <w:rFonts w:hint="default" w:ascii="Times New Roman" w:hAnsi="Times New Roman" w:eastAsia="宋体" w:cs="Times New Roman"/>
                      <w:color w:val="auto"/>
                      <w:sz w:val="18"/>
                      <w:szCs w:val="18"/>
                      <w:highlight w:val="none"/>
                      <w:lang w:eastAsia="zh-CN"/>
                    </w:rPr>
                    <w:t>租赁厂区现有</w:t>
                  </w:r>
                  <w:r>
                    <w:rPr>
                      <w:rFonts w:hint="default" w:ascii="Times New Roman" w:hAnsi="Times New Roman" w:eastAsia="宋体" w:cs="Times New Roman"/>
                      <w:color w:val="auto"/>
                      <w:sz w:val="18"/>
                      <w:szCs w:val="18"/>
                      <w:highlight w:val="none"/>
                    </w:rPr>
                    <w:t>雨水排口</w:t>
                  </w:r>
                  <w:r>
                    <w:rPr>
                      <w:rFonts w:hint="default" w:ascii="Times New Roman" w:hAnsi="Times New Roman" w:eastAsia="宋体" w:cs="Times New Roman"/>
                      <w:color w:val="auto"/>
                      <w:sz w:val="18"/>
                      <w:szCs w:val="18"/>
                      <w:highlight w:val="none"/>
                      <w:lang w:eastAsia="zh-CN"/>
                    </w:rPr>
                    <w:t>，接入市政雨水管网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生活污水</w:t>
                  </w:r>
                  <w:r>
                    <w:rPr>
                      <w:rFonts w:hint="eastAsia" w:ascii="Times New Roman" w:hAnsi="Times New Roman" w:eastAsia="宋体" w:cs="Times New Roman"/>
                      <w:color w:val="auto"/>
                      <w:sz w:val="18"/>
                      <w:szCs w:val="18"/>
                      <w:highlight w:val="none"/>
                      <w:lang w:val="en-US" w:eastAsia="zh-CN"/>
                    </w:rPr>
                    <w:t>2</w:t>
                  </w:r>
                  <w:r>
                    <w:rPr>
                      <w:rFonts w:hint="eastAsia" w:ascii="Times New Roman" w:hAnsi="Times New Roman" w:cs="Times New Roman"/>
                      <w:color w:val="auto"/>
                      <w:sz w:val="18"/>
                      <w:szCs w:val="18"/>
                      <w:highlight w:val="none"/>
                      <w:lang w:val="en-US" w:eastAsia="zh-CN"/>
                    </w:rPr>
                    <w:t>112</w:t>
                  </w:r>
                  <w:r>
                    <w:rPr>
                      <w:rFonts w:hint="default" w:ascii="Times New Roman" w:hAnsi="Times New Roman" w:eastAsia="宋体" w:cs="Times New Roman"/>
                      <w:color w:val="auto"/>
                      <w:sz w:val="18"/>
                      <w:szCs w:val="18"/>
                      <w:highlight w:val="none"/>
                    </w:rPr>
                    <w:t>t/a</w:t>
                  </w:r>
                </w:p>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rPr>
                  </w:pPr>
                  <w:r>
                    <w:rPr>
                      <w:rFonts w:hint="eastAsia" w:ascii="Times New Roman" w:hAnsi="Times New Roman" w:cs="Times New Roman"/>
                      <w:color w:val="auto"/>
                      <w:sz w:val="18"/>
                      <w:szCs w:val="18"/>
                      <w:highlight w:val="none"/>
                      <w:lang w:val="en-US" w:eastAsia="zh-CN"/>
                    </w:rPr>
                    <w:t>循环冷却水4t/a</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生活污水</w:t>
                  </w:r>
                  <w:r>
                    <w:rPr>
                      <w:rFonts w:hint="eastAsia" w:ascii="Times New Roman" w:hAnsi="Times New Roman" w:cs="Times New Roman"/>
                      <w:color w:val="auto"/>
                      <w:sz w:val="18"/>
                      <w:szCs w:val="18"/>
                      <w:highlight w:val="none"/>
                      <w:lang w:val="en-US" w:eastAsia="zh-CN"/>
                    </w:rPr>
                    <w:t>16</w:t>
                  </w:r>
                  <w:r>
                    <w:rPr>
                      <w:rFonts w:hint="default" w:ascii="Times New Roman" w:hAnsi="Times New Roman" w:eastAsia="宋体" w:cs="Times New Roman"/>
                      <w:color w:val="auto"/>
                      <w:sz w:val="18"/>
                      <w:szCs w:val="18"/>
                      <w:highlight w:val="none"/>
                      <w:lang w:val="en-US" w:eastAsia="zh-CN"/>
                    </w:rPr>
                    <w:t>00</w:t>
                  </w:r>
                  <w:r>
                    <w:rPr>
                      <w:rFonts w:hint="default" w:ascii="Times New Roman" w:hAnsi="Times New Roman" w:eastAsia="宋体" w:cs="Times New Roman"/>
                      <w:color w:val="auto"/>
                      <w:sz w:val="18"/>
                      <w:szCs w:val="18"/>
                      <w:highlight w:val="none"/>
                    </w:rPr>
                    <w:t>t/a</w:t>
                  </w:r>
                </w:p>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rPr>
                  </w:pPr>
                  <w:r>
                    <w:rPr>
                      <w:rFonts w:hint="eastAsia" w:ascii="Times New Roman" w:hAnsi="Times New Roman" w:cs="Times New Roman"/>
                      <w:color w:val="auto"/>
                      <w:sz w:val="18"/>
                      <w:szCs w:val="18"/>
                      <w:highlight w:val="none"/>
                      <w:lang w:val="en-US" w:eastAsia="zh-CN"/>
                    </w:rPr>
                    <w:t>循环冷却水6t/a</w:t>
                  </w:r>
                </w:p>
              </w:tc>
              <w:tc>
                <w:tcPr>
                  <w:tcW w:w="885"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生活污水</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512</w:t>
                  </w:r>
                  <w:r>
                    <w:rPr>
                      <w:rFonts w:hint="default" w:ascii="Times New Roman" w:hAnsi="Times New Roman" w:eastAsia="宋体" w:cs="Times New Roman"/>
                      <w:color w:val="auto"/>
                      <w:sz w:val="18"/>
                      <w:szCs w:val="18"/>
                      <w:highlight w:val="none"/>
                    </w:rPr>
                    <w:t>t/a</w:t>
                  </w:r>
                </w:p>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rPr>
                  </w:pPr>
                  <w:r>
                    <w:rPr>
                      <w:rFonts w:hint="eastAsia" w:ascii="Times New Roman" w:hAnsi="Times New Roman" w:cs="Times New Roman"/>
                      <w:color w:val="auto"/>
                      <w:sz w:val="18"/>
                      <w:szCs w:val="18"/>
                      <w:highlight w:val="none"/>
                      <w:lang w:val="en-US" w:eastAsia="zh-CN"/>
                    </w:rPr>
                    <w:t>循环冷却水+2t/a</w:t>
                  </w:r>
                </w:p>
              </w:tc>
              <w:tc>
                <w:tcPr>
                  <w:tcW w:w="118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依托</w:t>
                  </w:r>
                  <w:r>
                    <w:rPr>
                      <w:rFonts w:hint="default" w:ascii="Times New Roman" w:hAnsi="Times New Roman" w:eastAsia="宋体" w:cs="Times New Roman"/>
                      <w:color w:val="auto"/>
                      <w:sz w:val="18"/>
                      <w:szCs w:val="18"/>
                      <w:highlight w:val="none"/>
                      <w:lang w:eastAsia="zh-CN"/>
                    </w:rPr>
                    <w:t>租赁厂区现有污</w:t>
                  </w:r>
                  <w:r>
                    <w:rPr>
                      <w:rFonts w:hint="default" w:ascii="Times New Roman" w:hAnsi="Times New Roman" w:eastAsia="宋体" w:cs="Times New Roman"/>
                      <w:color w:val="auto"/>
                      <w:sz w:val="18"/>
                      <w:szCs w:val="18"/>
                      <w:highlight w:val="none"/>
                    </w:rPr>
                    <w:t>水排口</w:t>
                  </w:r>
                  <w:r>
                    <w:rPr>
                      <w:rFonts w:hint="default" w:ascii="Times New Roman" w:hAnsi="Times New Roman" w:eastAsia="宋体" w:cs="Times New Roman"/>
                      <w:color w:val="auto"/>
                      <w:sz w:val="18"/>
                      <w:szCs w:val="18"/>
                      <w:highlight w:val="none"/>
                      <w:lang w:eastAsia="zh-CN"/>
                    </w:rPr>
                    <w:t>，接入市政污水管网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24</w:t>
                  </w: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rPr>
                    <w:t>万度/年</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00</w:t>
                  </w:r>
                  <w:r>
                    <w:rPr>
                      <w:rFonts w:hint="default" w:ascii="Times New Roman" w:hAnsi="Times New Roman" w:eastAsia="宋体" w:cs="Times New Roman"/>
                      <w:color w:val="auto"/>
                      <w:sz w:val="18"/>
                      <w:szCs w:val="18"/>
                      <w:highlight w:val="none"/>
                    </w:rPr>
                    <w:t>万度/年</w:t>
                  </w:r>
                </w:p>
              </w:tc>
              <w:tc>
                <w:tcPr>
                  <w:tcW w:w="885"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rPr>
                    <w:t>万度/年</w:t>
                  </w:r>
                </w:p>
              </w:tc>
              <w:tc>
                <w:tcPr>
                  <w:tcW w:w="118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由园区供电站供电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restar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w:t>
                  </w:r>
                </w:p>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w:t>
                  </w: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废气处理</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二级活性炭吸附装置+一根15米高排气筒</w:t>
                  </w:r>
                </w:p>
              </w:tc>
              <w:tc>
                <w:tcPr>
                  <w:tcW w:w="883"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二级活性炭吸附装置+一根15米高排气筒</w:t>
                  </w:r>
                </w:p>
              </w:tc>
              <w:tc>
                <w:tcPr>
                  <w:tcW w:w="885"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186"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处理</w:t>
                  </w:r>
                  <w:r>
                    <w:rPr>
                      <w:rFonts w:hint="eastAsia" w:ascii="Times New Roman" w:hAnsi="Times New Roman" w:eastAsia="宋体" w:cs="Times New Roman"/>
                      <w:color w:val="auto"/>
                      <w:sz w:val="18"/>
                      <w:szCs w:val="18"/>
                      <w:highlight w:val="none"/>
                      <w:lang w:val="en-US" w:eastAsia="zh-CN"/>
                    </w:rPr>
                    <w:t>注塑</w:t>
                  </w:r>
                  <w:r>
                    <w:rPr>
                      <w:rFonts w:hint="default" w:ascii="Times New Roman" w:hAnsi="Times New Roman" w:eastAsia="宋体" w:cs="Times New Roman"/>
                      <w:color w:val="auto"/>
                      <w:sz w:val="18"/>
                      <w:szCs w:val="18"/>
                      <w:highlight w:val="none"/>
                      <w:lang w:eastAsia="zh-CN"/>
                    </w:rPr>
                    <w:t>工序产生的废气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废水处理</w:t>
                  </w:r>
                </w:p>
              </w:tc>
              <w:tc>
                <w:tcPr>
                  <w:tcW w:w="3838" w:type="pct"/>
                  <w:gridSpan w:val="4"/>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生活污水</w:t>
                  </w:r>
                  <w:r>
                    <w:rPr>
                      <w:rFonts w:hint="eastAsia" w:ascii="Times New Roman" w:hAnsi="Times New Roman" w:cs="Times New Roman"/>
                      <w:color w:val="auto"/>
                      <w:sz w:val="18"/>
                      <w:szCs w:val="18"/>
                      <w:highlight w:val="none"/>
                      <w:lang w:val="en-US" w:eastAsia="zh-CN"/>
                    </w:rPr>
                    <w:t>和循环冷却水</w:t>
                  </w:r>
                  <w:r>
                    <w:rPr>
                      <w:rFonts w:hint="eastAsia" w:ascii="Times New Roman" w:hAnsi="Times New Roman" w:eastAsia="宋体" w:cs="Times New Roman"/>
                      <w:color w:val="auto"/>
                      <w:sz w:val="18"/>
                      <w:szCs w:val="18"/>
                      <w:highlight w:val="none"/>
                      <w:lang w:val="en-US" w:eastAsia="zh-CN"/>
                    </w:rPr>
                    <w:t>排入</w:t>
                  </w:r>
                  <w:r>
                    <w:rPr>
                      <w:rFonts w:hint="default" w:ascii="Times New Roman" w:hAnsi="Times New Roman" w:eastAsia="宋体" w:cs="Times New Roman"/>
                      <w:color w:val="auto"/>
                      <w:sz w:val="18"/>
                      <w:szCs w:val="18"/>
                      <w:highlight w:val="none"/>
                    </w:rPr>
                    <w:t>市政污水管网，</w:t>
                  </w:r>
                  <w:r>
                    <w:rPr>
                      <w:rFonts w:hint="eastAsia" w:ascii="Times New Roman" w:hAnsi="Times New Roman" w:eastAsia="宋体" w:cs="Times New Roman"/>
                      <w:color w:val="auto"/>
                      <w:sz w:val="18"/>
                      <w:szCs w:val="18"/>
                      <w:highlight w:val="none"/>
                      <w:lang w:val="en-US" w:eastAsia="zh-CN"/>
                    </w:rPr>
                    <w:t>接入</w:t>
                  </w:r>
                  <w:r>
                    <w:rPr>
                      <w:rFonts w:hint="default" w:ascii="Times New Roman" w:hAnsi="Times New Roman" w:eastAsia="宋体" w:cs="Times New Roman"/>
                      <w:color w:val="auto"/>
                      <w:sz w:val="18"/>
                      <w:szCs w:val="18"/>
                      <w:highlight w:val="none"/>
                    </w:rPr>
                    <w:t>园区污水处理厂</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尾水排入吴淞江。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降噪措施</w:t>
                  </w:r>
                </w:p>
              </w:tc>
              <w:tc>
                <w:tcPr>
                  <w:tcW w:w="3838" w:type="pct"/>
                  <w:gridSpan w:val="4"/>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设备合理选型、设备消声、墙体隔声等措施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p>
              </w:tc>
              <w:tc>
                <w:tcPr>
                  <w:tcW w:w="791" w:type="pct"/>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固废处理</w:t>
                  </w:r>
                </w:p>
              </w:tc>
              <w:tc>
                <w:tcPr>
                  <w:tcW w:w="3838" w:type="pct"/>
                  <w:gridSpan w:val="4"/>
                  <w:tcBorders>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一般固废外售</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危险废物委托有资质单位处置</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生活垃圾</w:t>
                  </w:r>
                  <w:r>
                    <w:rPr>
                      <w:rFonts w:hint="default" w:ascii="Times New Roman" w:hAnsi="Times New Roman" w:eastAsia="宋体" w:cs="Times New Roman"/>
                      <w:bCs/>
                      <w:color w:val="auto"/>
                      <w:sz w:val="18"/>
                      <w:szCs w:val="18"/>
                      <w:highlight w:val="none"/>
                    </w:rPr>
                    <w:t>环卫处理</w:t>
                  </w:r>
                  <w:r>
                    <w:rPr>
                      <w:rFonts w:hint="eastAsia" w:ascii="Times New Roman" w:hAnsi="Times New Roman" w:eastAsia="宋体" w:cs="Times New Roman"/>
                      <w:bCs/>
                      <w:color w:val="auto"/>
                      <w:sz w:val="18"/>
                      <w:szCs w:val="18"/>
                      <w:highlight w:val="none"/>
                      <w:lang w:eastAsia="zh-CN"/>
                    </w:rPr>
                    <w:t>。</w:t>
                  </w:r>
                </w:p>
              </w:tc>
            </w:tr>
          </w:tbl>
          <w:p>
            <w:pPr>
              <w:pStyle w:val="29"/>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注：项目雨水、污水排口均依托现有排口，不另增设排污口。</w:t>
            </w:r>
          </w:p>
          <w:p>
            <w:pPr>
              <w:pStyle w:val="29"/>
              <w:keepNext w:val="0"/>
              <w:keepLines w:val="0"/>
              <w:pageBreakBefore w:val="0"/>
              <w:widowControl/>
              <w:kinsoku/>
              <w:wordWrap/>
              <w:overflowPunct/>
              <w:topLinePunct w:val="0"/>
              <w:autoSpaceDE/>
              <w:autoSpaceDN/>
              <w:bidi w:val="0"/>
              <w:adjustRightInd/>
              <w:snapToGrid w:val="0"/>
              <w:spacing w:before="0" w:line="360" w:lineRule="auto"/>
              <w:ind w:right="0" w:firstLine="422" w:firstLineChars="200"/>
              <w:jc w:val="both"/>
              <w:textAlignment w:val="auto"/>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2、项目产品方案</w:t>
            </w:r>
          </w:p>
          <w:p>
            <w:pPr>
              <w:pStyle w:val="29"/>
              <w:adjustRightInd w:val="0"/>
              <w:snapToGrid w:val="0"/>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 xml:space="preserve"> </w:t>
            </w:r>
            <w:r>
              <w:rPr>
                <w:rFonts w:hint="default" w:ascii="Times New Roman" w:hAnsi="Times New Roman" w:cs="Times New Roman"/>
                <w:b/>
                <w:sz w:val="21"/>
                <w:szCs w:val="21"/>
                <w:lang w:val="en-US" w:eastAsia="zh-CN"/>
              </w:rPr>
              <w:t>项目产品方案</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2"/>
              <w:gridCol w:w="438"/>
              <w:gridCol w:w="1477"/>
              <w:gridCol w:w="1985"/>
              <w:gridCol w:w="646"/>
              <w:gridCol w:w="981"/>
              <w:gridCol w:w="865"/>
              <w:gridCol w:w="808"/>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7" w:type="pct"/>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1153" w:type="pct"/>
                  <w:gridSpan w:val="2"/>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产品名称</w:t>
                  </w:r>
                </w:p>
              </w:tc>
              <w:tc>
                <w:tcPr>
                  <w:tcW w:w="1195" w:type="pct"/>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规格指标</w:t>
                  </w:r>
                </w:p>
              </w:tc>
              <w:tc>
                <w:tcPr>
                  <w:tcW w:w="389" w:type="pct"/>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主要材质</w:t>
                  </w:r>
                </w:p>
              </w:tc>
              <w:tc>
                <w:tcPr>
                  <w:tcW w:w="1598" w:type="pct"/>
                  <w:gridSpan w:val="3"/>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bCs/>
                      <w:sz w:val="18"/>
                      <w:szCs w:val="18"/>
                      <w:lang w:val="en-US" w:eastAsia="zh-CN"/>
                    </w:rPr>
                  </w:pPr>
                  <w:r>
                    <w:rPr>
                      <w:rFonts w:hint="default" w:ascii="Times New Roman" w:hAnsi="Times New Roman" w:cs="Times New Roman"/>
                      <w:b/>
                      <w:bCs/>
                      <w:sz w:val="18"/>
                      <w:szCs w:val="18"/>
                    </w:rPr>
                    <w:t>年生产能力</w:t>
                  </w:r>
                  <w:r>
                    <w:rPr>
                      <w:rFonts w:hint="eastAsia" w:cs="Times New Roman"/>
                      <w:b/>
                      <w:bCs/>
                      <w:sz w:val="18"/>
                      <w:szCs w:val="18"/>
                      <w:lang w:eastAsia="zh-CN"/>
                    </w:rPr>
                    <w:t>（</w:t>
                  </w:r>
                  <w:r>
                    <w:rPr>
                      <w:rFonts w:hint="eastAsia" w:cs="Times New Roman"/>
                      <w:b/>
                      <w:bCs/>
                      <w:sz w:val="18"/>
                      <w:szCs w:val="18"/>
                      <w:lang w:val="en-US" w:eastAsia="zh-CN"/>
                    </w:rPr>
                    <w:t>万件</w:t>
                  </w:r>
                  <w:r>
                    <w:rPr>
                      <w:rFonts w:hint="eastAsia" w:cs="Times New Roman"/>
                      <w:b/>
                      <w:bCs/>
                      <w:sz w:val="18"/>
                      <w:szCs w:val="18"/>
                      <w:lang w:eastAsia="zh-CN"/>
                    </w:rPr>
                    <w:t>）</w:t>
                  </w:r>
                </w:p>
              </w:tc>
              <w:tc>
                <w:tcPr>
                  <w:tcW w:w="476" w:type="pct"/>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default" w:ascii="Times New Roman" w:hAnsi="Times New Roman" w:cs="Times New Roman"/>
                      <w:b/>
                      <w:bCs/>
                      <w:sz w:val="18"/>
                      <w:szCs w:val="18"/>
                    </w:rPr>
                    <w:t>年运行时数h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7" w:type="pct"/>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p>
              </w:tc>
              <w:tc>
                <w:tcPr>
                  <w:tcW w:w="1153" w:type="pct"/>
                  <w:gridSpan w:val="2"/>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p>
              </w:tc>
              <w:tc>
                <w:tcPr>
                  <w:tcW w:w="1195" w:type="pct"/>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p>
              </w:tc>
              <w:tc>
                <w:tcPr>
                  <w:tcW w:w="389" w:type="pct"/>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p>
              </w:tc>
              <w:tc>
                <w:tcPr>
                  <w:tcW w:w="590"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eastAsia" w:cs="Times New Roman"/>
                      <w:b/>
                      <w:bCs/>
                      <w:sz w:val="18"/>
                      <w:szCs w:val="18"/>
                      <w:lang w:val="en-US" w:eastAsia="zh-CN"/>
                    </w:rPr>
                    <w:t>技改</w:t>
                  </w:r>
                  <w:r>
                    <w:rPr>
                      <w:rFonts w:hint="default" w:ascii="Times New Roman" w:hAnsi="Times New Roman" w:cs="Times New Roman"/>
                      <w:b/>
                      <w:bCs/>
                      <w:sz w:val="18"/>
                      <w:szCs w:val="18"/>
                    </w:rPr>
                    <w:t>前</w:t>
                  </w:r>
                </w:p>
              </w:tc>
              <w:tc>
                <w:tcPr>
                  <w:tcW w:w="520"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eastAsia" w:cs="Times New Roman"/>
                      <w:b/>
                      <w:bCs/>
                      <w:sz w:val="18"/>
                      <w:szCs w:val="18"/>
                      <w:lang w:val="en-US" w:eastAsia="zh-CN"/>
                    </w:rPr>
                    <w:t>技改</w:t>
                  </w:r>
                  <w:r>
                    <w:rPr>
                      <w:rFonts w:hint="default" w:ascii="Times New Roman" w:hAnsi="Times New Roman" w:cs="Times New Roman"/>
                      <w:b/>
                      <w:bCs/>
                      <w:sz w:val="18"/>
                      <w:szCs w:val="18"/>
                    </w:rPr>
                    <w:t>项目</w:t>
                  </w:r>
                </w:p>
              </w:tc>
              <w:tc>
                <w:tcPr>
                  <w:tcW w:w="4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sz w:val="18"/>
                      <w:szCs w:val="18"/>
                    </w:rPr>
                  </w:pPr>
                  <w:r>
                    <w:rPr>
                      <w:rFonts w:hint="eastAsia" w:cs="Times New Roman"/>
                      <w:b/>
                      <w:bCs/>
                      <w:sz w:val="18"/>
                      <w:szCs w:val="18"/>
                      <w:lang w:val="en-US" w:eastAsia="zh-CN"/>
                    </w:rPr>
                    <w:t>技改</w:t>
                  </w:r>
                  <w:r>
                    <w:rPr>
                      <w:rFonts w:hint="default" w:ascii="Times New Roman" w:hAnsi="Times New Roman" w:cs="Times New Roman"/>
                      <w:b/>
                      <w:bCs/>
                      <w:sz w:val="18"/>
                      <w:szCs w:val="18"/>
                    </w:rPr>
                    <w:t>后</w:t>
                  </w:r>
                </w:p>
              </w:tc>
              <w:tc>
                <w:tcPr>
                  <w:tcW w:w="476" w:type="pct"/>
                  <w:vMerge w:val="continue"/>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7" w:type="pct"/>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63" w:type="pct"/>
                  <w:vMerge w:val="restar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塑料制品</w:t>
                  </w:r>
                </w:p>
              </w:tc>
              <w:tc>
                <w:tcPr>
                  <w:tcW w:w="88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塑料零</w:t>
                  </w:r>
                  <w:r>
                    <w:rPr>
                      <w:rFonts w:hint="eastAsia" w:cs="Times New Roman"/>
                      <w:color w:val="auto"/>
                      <w:sz w:val="18"/>
                      <w:szCs w:val="18"/>
                      <w:lang w:val="en-US" w:eastAsia="zh-CN"/>
                    </w:rPr>
                    <w:t>部</w:t>
                  </w:r>
                  <w:r>
                    <w:rPr>
                      <w:rFonts w:hint="default" w:ascii="Times New Roman" w:hAnsi="Times New Roman" w:eastAsia="宋体" w:cs="Times New Roman"/>
                      <w:color w:val="auto"/>
                      <w:sz w:val="18"/>
                      <w:szCs w:val="18"/>
                      <w:lang w:eastAsia="zh-CN"/>
                    </w:rPr>
                    <w:t>件</w:t>
                  </w:r>
                  <w:r>
                    <w:rPr>
                      <w:rFonts w:hint="eastAsia" w:cs="Times New Roman"/>
                      <w:color w:val="auto"/>
                      <w:sz w:val="18"/>
                      <w:szCs w:val="18"/>
                      <w:lang w:val="en-US" w:eastAsia="zh-CN"/>
                    </w:rPr>
                    <w:t>（汽车零部件、数据中心零部件）*</w:t>
                  </w:r>
                </w:p>
              </w:tc>
              <w:tc>
                <w:tcPr>
                  <w:tcW w:w="119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现有产品：</w:t>
                  </w:r>
                  <w:r>
                    <w:rPr>
                      <w:rFonts w:hint="default" w:ascii="Times New Roman" w:hAnsi="Times New Roman" w:eastAsia="宋体" w:cs="Times New Roman"/>
                      <w:color w:val="auto"/>
                      <w:kern w:val="2"/>
                      <w:sz w:val="18"/>
                      <w:szCs w:val="18"/>
                      <w:lang w:val="en-US" w:eastAsia="zh-CN" w:bidi="ar-SA"/>
                    </w:rPr>
                    <w:t>300mm ×230mm×2.5mm</w:t>
                  </w:r>
                  <w:r>
                    <w:rPr>
                      <w:rFonts w:hint="eastAsia" w:ascii="Times New Roman" w:hAnsi="Times New Roman" w:eastAsia="宋体" w:cs="Times New Roman"/>
                      <w:color w:val="auto"/>
                      <w:kern w:val="2"/>
                      <w:sz w:val="18"/>
                      <w:szCs w:val="18"/>
                      <w:lang w:val="en-US" w:eastAsia="zh-CN" w:bidi="ar-SA"/>
                    </w:rPr>
                    <w:t>-7mm</w:t>
                  </w:r>
                  <w:r>
                    <w:rPr>
                      <w:rFonts w:hint="default" w:ascii="Times New Roman" w:hAnsi="Times New Roman" w:eastAsia="宋体" w:cs="Times New Roman"/>
                      <w:color w:val="auto"/>
                      <w:kern w:val="2"/>
                      <w:sz w:val="18"/>
                      <w:szCs w:val="18"/>
                      <w:lang w:val="en-US" w:eastAsia="zh-CN" w:bidi="ar-SA"/>
                    </w:rPr>
                    <w:t>×4</w:t>
                  </w:r>
                  <w:r>
                    <w:rPr>
                      <w:rFonts w:hint="eastAsia" w:ascii="Times New Roman" w:hAnsi="Times New Roman" w:eastAsia="宋体" w:cs="Times New Roman"/>
                      <w:color w:val="auto"/>
                      <w:kern w:val="2"/>
                      <w:sz w:val="18"/>
                      <w:szCs w:val="18"/>
                      <w:lang w:val="en-US" w:eastAsia="zh-CN" w:bidi="ar-SA"/>
                    </w:rPr>
                    <w:t>mm</w:t>
                  </w:r>
                  <w:r>
                    <w:rPr>
                      <w:rFonts w:hint="default" w:ascii="Times New Roman" w:hAnsi="Times New Roman" w:eastAsia="宋体" w:cs="Times New Roman"/>
                      <w:color w:val="auto"/>
                      <w:kern w:val="2"/>
                      <w:sz w:val="18"/>
                      <w:szCs w:val="18"/>
                      <w:lang w:val="en-US" w:eastAsia="zh-CN" w:bidi="ar-SA"/>
                    </w:rPr>
                    <w:t>×</w:t>
                  </w:r>
                  <w:r>
                    <w:rPr>
                      <w:rFonts w:hint="eastAsia" w:ascii="Times New Roman" w:hAnsi="Times New Roman" w:eastAsia="宋体" w:cs="Times New Roman"/>
                      <w:color w:val="auto"/>
                      <w:kern w:val="2"/>
                      <w:sz w:val="18"/>
                      <w:szCs w:val="18"/>
                      <w:lang w:val="en-US" w:eastAsia="zh-CN" w:bidi="ar-SA"/>
                    </w:rPr>
                    <w:t>0</w:t>
                  </w:r>
                  <w:r>
                    <w:rPr>
                      <w:rFonts w:hint="default" w:ascii="Times New Roman" w:hAnsi="Times New Roman" w:eastAsia="宋体" w:cs="Times New Roman"/>
                      <w:color w:val="auto"/>
                      <w:kern w:val="2"/>
                      <w:sz w:val="18"/>
                      <w:szCs w:val="18"/>
                      <w:lang w:val="en-US" w:eastAsia="zh-CN" w:bidi="ar-SA"/>
                    </w:rPr>
                    <w:t>.7</w:t>
                  </w:r>
                  <w:r>
                    <w:rPr>
                      <w:rFonts w:hint="eastAsia" w:ascii="Times New Roman" w:hAnsi="Times New Roman" w:eastAsia="宋体" w:cs="Times New Roman"/>
                      <w:color w:val="auto"/>
                      <w:kern w:val="2"/>
                      <w:sz w:val="18"/>
                      <w:szCs w:val="18"/>
                      <w:lang w:val="en-US" w:eastAsia="zh-CN" w:bidi="ar-SA"/>
                    </w:rPr>
                    <w:t>mm，</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lang w:val="en-US" w:eastAsia="zh-CN" w:bidi="ar-SA"/>
                    </w:rPr>
                    <w:t>新增产品：</w:t>
                  </w:r>
                  <w:r>
                    <w:rPr>
                      <w:rFonts w:hint="default" w:ascii="Times New Roman" w:hAnsi="Times New Roman" w:eastAsia="宋体" w:cs="Times New Roman"/>
                      <w:color w:val="auto"/>
                      <w:kern w:val="2"/>
                      <w:sz w:val="18"/>
                      <w:szCs w:val="18"/>
                      <w:lang w:val="en-US" w:eastAsia="zh-CN" w:bidi="ar-SA"/>
                    </w:rPr>
                    <w:t>直径13mm</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长150mm</w:t>
                  </w:r>
                  <w:r>
                    <w:rPr>
                      <w:rFonts w:hint="eastAsia" w:ascii="Times New Roman" w:hAnsi="Times New Roman" w:eastAsia="宋体"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 xml:space="preserve"> </w:t>
                  </w:r>
                  <w:r>
                    <w:rPr>
                      <w:rFonts w:hint="eastAsia" w:ascii="Times New Roman" w:hAnsi="Times New Roman" w:eastAsia="宋体" w:cs="Times New Roman"/>
                      <w:color w:val="auto"/>
                      <w:kern w:val="2"/>
                      <w:sz w:val="18"/>
                      <w:szCs w:val="18"/>
                      <w:lang w:val="en-US" w:eastAsia="zh-CN" w:bidi="ar-SA"/>
                    </w:rPr>
                    <w:t>空心管壁厚1mm</w:t>
                  </w:r>
                </w:p>
              </w:tc>
              <w:tc>
                <w:tcPr>
                  <w:tcW w:w="38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塑料</w:t>
                  </w:r>
                </w:p>
              </w:tc>
              <w:tc>
                <w:tcPr>
                  <w:tcW w:w="59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6000（164.5t）</w:t>
                  </w:r>
                </w:p>
              </w:tc>
              <w:tc>
                <w:tcPr>
                  <w:tcW w:w="52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+1700（5t）</w:t>
                  </w:r>
                </w:p>
              </w:tc>
              <w:tc>
                <w:tcPr>
                  <w:tcW w:w="486"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7700（170t）</w:t>
                  </w:r>
                </w:p>
              </w:tc>
              <w:tc>
                <w:tcPr>
                  <w:tcW w:w="47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7" w:type="pct"/>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w:t>
                  </w:r>
                </w:p>
              </w:tc>
              <w:tc>
                <w:tcPr>
                  <w:tcW w:w="263" w:type="pct"/>
                  <w:vMerge w:val="continue"/>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kern w:val="2"/>
                      <w:sz w:val="18"/>
                      <w:szCs w:val="18"/>
                      <w:lang w:val="en-US" w:eastAsia="zh-CN" w:bidi="ar-SA"/>
                    </w:rPr>
                  </w:pPr>
                </w:p>
              </w:tc>
              <w:tc>
                <w:tcPr>
                  <w:tcW w:w="889" w:type="pct"/>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kern w:val="2"/>
                      <w:sz w:val="18"/>
                      <w:szCs w:val="18"/>
                      <w:highlight w:val="none"/>
                      <w:lang w:val="en-US" w:eastAsia="zh-CN" w:bidi="ar-SA"/>
                    </w:rPr>
                  </w:pPr>
                  <w:r>
                    <w:rPr>
                      <w:rFonts w:hint="eastAsia" w:ascii="Times New Roman" w:hAnsi="Times New Roman" w:eastAsia="宋体" w:cs="Times New Roman"/>
                      <w:kern w:val="2"/>
                      <w:sz w:val="18"/>
                      <w:szCs w:val="18"/>
                      <w:highlight w:val="none"/>
                      <w:lang w:val="en-US" w:eastAsia="zh-CN" w:bidi="ar-SA"/>
                    </w:rPr>
                    <w:t>牙科耗材</w:t>
                  </w:r>
                  <w:r>
                    <w:rPr>
                      <w:rFonts w:hint="eastAsia" w:cs="Times New Roman"/>
                      <w:kern w:val="2"/>
                      <w:sz w:val="18"/>
                      <w:szCs w:val="18"/>
                      <w:highlight w:val="none"/>
                      <w:lang w:val="en-US" w:eastAsia="zh-CN" w:bidi="ar-SA"/>
                    </w:rPr>
                    <w:t>*</w:t>
                  </w:r>
                </w:p>
              </w:tc>
              <w:tc>
                <w:tcPr>
                  <w:tcW w:w="119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直径12mm高度13.4mm</w:t>
                  </w:r>
                </w:p>
              </w:tc>
              <w:tc>
                <w:tcPr>
                  <w:tcW w:w="38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塑料</w:t>
                  </w:r>
                </w:p>
              </w:tc>
              <w:tc>
                <w:tcPr>
                  <w:tcW w:w="59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0</w:t>
                  </w:r>
                </w:p>
              </w:tc>
              <w:tc>
                <w:tcPr>
                  <w:tcW w:w="52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+720（14.5t）</w:t>
                  </w:r>
                </w:p>
              </w:tc>
              <w:tc>
                <w:tcPr>
                  <w:tcW w:w="486" w:type="pct"/>
                  <w:vAlign w:val="center"/>
                </w:tcPr>
                <w:p>
                  <w:pPr>
                    <w:keepNext w:val="0"/>
                    <w:keepLines w:val="0"/>
                    <w:pageBreakBefore w:val="0"/>
                    <w:kinsoku/>
                    <w:wordWrap/>
                    <w:overflowPunct/>
                    <w:topLinePunct w:val="0"/>
                    <w:autoSpaceDE/>
                    <w:autoSpaceDN/>
                    <w:bidi w:val="0"/>
                    <w:jc w:val="center"/>
                    <w:textAlignment w:val="auto"/>
                    <w:rPr>
                      <w:rFonts w:hint="eastAsia"/>
                      <w:bCs/>
                      <w:sz w:val="18"/>
                      <w:szCs w:val="18"/>
                      <w:lang w:val="en-US" w:eastAsia="zh-CN"/>
                    </w:rPr>
                  </w:pPr>
                  <w:r>
                    <w:rPr>
                      <w:rFonts w:hint="eastAsia"/>
                      <w:bCs/>
                      <w:sz w:val="18"/>
                      <w:szCs w:val="18"/>
                      <w:lang w:val="en-US" w:eastAsia="zh-CN"/>
                    </w:rPr>
                    <w:t>720（14.5t）</w:t>
                  </w:r>
                </w:p>
              </w:tc>
              <w:tc>
                <w:tcPr>
                  <w:tcW w:w="47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7" w:type="pct"/>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263" w:type="pct"/>
                  <w:vMerge w:val="continue"/>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kern w:val="2"/>
                      <w:sz w:val="18"/>
                      <w:szCs w:val="18"/>
                      <w:lang w:val="en-US" w:eastAsia="zh-CN" w:bidi="ar-SA"/>
                    </w:rPr>
                  </w:pPr>
                </w:p>
              </w:tc>
              <w:tc>
                <w:tcPr>
                  <w:tcW w:w="889" w:type="pct"/>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外科医用耗材</w:t>
                  </w:r>
                  <w:r>
                    <w:rPr>
                      <w:rFonts w:hint="eastAsia" w:cs="Times New Roman"/>
                      <w:kern w:val="2"/>
                      <w:sz w:val="18"/>
                      <w:szCs w:val="18"/>
                      <w:lang w:val="en-US" w:eastAsia="zh-CN" w:bidi="ar-SA"/>
                    </w:rPr>
                    <w:t>*</w:t>
                  </w:r>
                </w:p>
              </w:tc>
              <w:tc>
                <w:tcPr>
                  <w:tcW w:w="119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直径13mm 长度150mm</w:t>
                  </w:r>
                </w:p>
              </w:tc>
              <w:tc>
                <w:tcPr>
                  <w:tcW w:w="38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塑料</w:t>
                  </w:r>
                </w:p>
              </w:tc>
              <w:tc>
                <w:tcPr>
                  <w:tcW w:w="590" w:type="pct"/>
                  <w:vAlign w:val="center"/>
                </w:tcPr>
                <w:p>
                  <w:pPr>
                    <w:keepNext w:val="0"/>
                    <w:keepLines w:val="0"/>
                    <w:pageBreakBefore w:val="0"/>
                    <w:kinsoku/>
                    <w:wordWrap/>
                    <w:overflowPunct/>
                    <w:topLinePunct w:val="0"/>
                    <w:autoSpaceDE/>
                    <w:autoSpaceDN/>
                    <w:bidi w:val="0"/>
                    <w:jc w:val="center"/>
                    <w:textAlignment w:val="auto"/>
                    <w:rPr>
                      <w:rFonts w:hint="eastAsia"/>
                      <w:bCs/>
                      <w:sz w:val="18"/>
                      <w:szCs w:val="18"/>
                      <w:lang w:val="en-US" w:eastAsia="zh-CN"/>
                    </w:rPr>
                  </w:pPr>
                  <w:r>
                    <w:rPr>
                      <w:rFonts w:hint="eastAsia"/>
                      <w:bCs/>
                      <w:sz w:val="18"/>
                      <w:szCs w:val="18"/>
                      <w:lang w:val="en-US" w:eastAsia="zh-CN"/>
                    </w:rPr>
                    <w:t>0</w:t>
                  </w:r>
                </w:p>
              </w:tc>
              <w:tc>
                <w:tcPr>
                  <w:tcW w:w="52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+600（14.5t）</w:t>
                  </w:r>
                </w:p>
              </w:tc>
              <w:tc>
                <w:tcPr>
                  <w:tcW w:w="486" w:type="pct"/>
                  <w:vAlign w:val="center"/>
                </w:tcPr>
                <w:p>
                  <w:pPr>
                    <w:keepNext w:val="0"/>
                    <w:keepLines w:val="0"/>
                    <w:pageBreakBefore w:val="0"/>
                    <w:kinsoku/>
                    <w:wordWrap/>
                    <w:overflowPunct/>
                    <w:topLinePunct w:val="0"/>
                    <w:autoSpaceDE/>
                    <w:autoSpaceDN/>
                    <w:bidi w:val="0"/>
                    <w:jc w:val="center"/>
                    <w:textAlignment w:val="auto"/>
                    <w:rPr>
                      <w:rFonts w:hint="eastAsia"/>
                      <w:bCs/>
                      <w:sz w:val="18"/>
                      <w:szCs w:val="18"/>
                      <w:lang w:val="en-US" w:eastAsia="zh-CN"/>
                    </w:rPr>
                  </w:pPr>
                  <w:r>
                    <w:rPr>
                      <w:rFonts w:hint="eastAsia"/>
                      <w:bCs/>
                      <w:sz w:val="18"/>
                      <w:szCs w:val="18"/>
                      <w:lang w:val="en-US" w:eastAsia="zh-CN"/>
                    </w:rPr>
                    <w:t>600（14.5t）</w:t>
                  </w:r>
                </w:p>
              </w:tc>
              <w:tc>
                <w:tcPr>
                  <w:tcW w:w="47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7" w:type="pct"/>
                  <w:vAlign w:val="center"/>
                </w:tcPr>
                <w:p>
                  <w:pPr>
                    <w:pStyle w:val="29"/>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w:t>
                  </w:r>
                </w:p>
              </w:tc>
              <w:tc>
                <w:tcPr>
                  <w:tcW w:w="1153" w:type="pct"/>
                  <w:gridSpan w:val="2"/>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笔记本电脑装配件</w:t>
                  </w:r>
                </w:p>
              </w:tc>
              <w:tc>
                <w:tcPr>
                  <w:tcW w:w="119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 xml:space="preserve">300mm </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230mm</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厚 2.5mm</w:t>
                  </w:r>
                </w:p>
              </w:tc>
              <w:tc>
                <w:tcPr>
                  <w:tcW w:w="38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塑料</w:t>
                  </w:r>
                </w:p>
              </w:tc>
              <w:tc>
                <w:tcPr>
                  <w:tcW w:w="59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2.25</w:t>
                  </w:r>
                </w:p>
              </w:tc>
              <w:tc>
                <w:tcPr>
                  <w:tcW w:w="520"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0</w:t>
                  </w:r>
                </w:p>
              </w:tc>
              <w:tc>
                <w:tcPr>
                  <w:tcW w:w="486" w:type="pct"/>
                  <w:vAlign w:val="center"/>
                </w:tcPr>
                <w:p>
                  <w:pPr>
                    <w:keepNext w:val="0"/>
                    <w:keepLines w:val="0"/>
                    <w:pageBreakBefore w:val="0"/>
                    <w:kinsoku/>
                    <w:wordWrap/>
                    <w:overflowPunct/>
                    <w:topLinePunct w:val="0"/>
                    <w:autoSpaceDE/>
                    <w:autoSpaceDN/>
                    <w:bidi w:val="0"/>
                    <w:jc w:val="center"/>
                    <w:textAlignment w:val="auto"/>
                    <w:rPr>
                      <w:rFonts w:hint="default"/>
                      <w:bCs/>
                      <w:sz w:val="18"/>
                      <w:szCs w:val="18"/>
                      <w:lang w:val="en-US" w:eastAsia="zh-CN"/>
                    </w:rPr>
                  </w:pPr>
                  <w:r>
                    <w:rPr>
                      <w:rFonts w:hint="eastAsia"/>
                      <w:bCs/>
                      <w:sz w:val="18"/>
                      <w:szCs w:val="18"/>
                      <w:lang w:val="en-US" w:eastAsia="zh-CN"/>
                    </w:rPr>
                    <w:t>2.25</w:t>
                  </w:r>
                </w:p>
              </w:tc>
              <w:tc>
                <w:tcPr>
                  <w:tcW w:w="47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cs="Times New Roman"/>
                      <w:sz w:val="18"/>
                      <w:szCs w:val="18"/>
                      <w:lang w:val="en-US" w:eastAsia="zh-CN"/>
                    </w:rPr>
                  </w:pPr>
                  <w:r>
                    <w:rPr>
                      <w:rFonts w:hint="eastAsia" w:cs="Times New Roman"/>
                      <w:sz w:val="18"/>
                      <w:szCs w:val="18"/>
                      <w:lang w:val="en-US" w:eastAsia="zh-CN"/>
                    </w:rPr>
                    <w:t>6000</w:t>
                  </w:r>
                </w:p>
              </w:tc>
            </w:tr>
          </w:tbl>
          <w:p>
            <w:pPr>
              <w:pStyle w:val="29"/>
              <w:keepNext w:val="0"/>
              <w:keepLines w:val="0"/>
              <w:pageBreakBefore w:val="0"/>
              <w:widowControl/>
              <w:numPr>
                <w:ilvl w:val="0"/>
                <w:numId w:val="0"/>
              </w:numPr>
              <w:kinsoku/>
              <w:wordWrap/>
              <w:overflowPunct/>
              <w:topLinePunct w:val="0"/>
              <w:autoSpaceDE/>
              <w:autoSpaceDN/>
              <w:bidi w:val="0"/>
              <w:adjustRightInd/>
              <w:snapToGrid w:val="0"/>
              <w:spacing w:before="0" w:line="240" w:lineRule="auto"/>
              <w:ind w:leftChars="0" w:right="0" w:rightChars="0" w:firstLine="420" w:firstLineChars="200"/>
              <w:jc w:val="both"/>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val="0"/>
                <w:bCs w:val="0"/>
                <w:sz w:val="21"/>
                <w:szCs w:val="21"/>
                <w:highlight w:val="none"/>
                <w:lang w:val="en-US" w:eastAsia="zh-CN"/>
              </w:rPr>
              <w:t>注：新增</w:t>
            </w:r>
            <w:r>
              <w:rPr>
                <w:rFonts w:hint="eastAsia" w:ascii="Times New Roman" w:hAnsi="Times New Roman" w:cs="Times New Roman"/>
                <w:kern w:val="2"/>
                <w:sz w:val="21"/>
                <w:szCs w:val="21"/>
                <w:highlight w:val="none"/>
                <w:lang w:val="en-US" w:eastAsia="zh-CN" w:bidi="ar-SA"/>
              </w:rPr>
              <w:t>产品</w:t>
            </w:r>
            <w:r>
              <w:rPr>
                <w:rFonts w:hint="eastAsia" w:ascii="Times New Roman" w:hAnsi="Times New Roman" w:cs="Times New Roman"/>
                <w:b w:val="0"/>
                <w:bCs w:val="0"/>
                <w:sz w:val="21"/>
                <w:szCs w:val="21"/>
                <w:highlight w:val="none"/>
                <w:lang w:val="en-US" w:eastAsia="zh-CN"/>
              </w:rPr>
              <w:t>在170m</w:t>
            </w:r>
            <w:r>
              <w:rPr>
                <w:rFonts w:hint="eastAsia" w:ascii="Times New Roman" w:hAnsi="Times New Roman" w:cs="Times New Roman"/>
                <w:b w:val="0"/>
                <w:bCs w:val="0"/>
                <w:sz w:val="21"/>
                <w:szCs w:val="21"/>
                <w:highlight w:val="none"/>
                <w:vertAlign w:val="superscript"/>
                <w:lang w:val="en-US" w:eastAsia="zh-CN"/>
              </w:rPr>
              <w:t>2</w:t>
            </w:r>
            <w:r>
              <w:rPr>
                <w:rFonts w:hint="eastAsia" w:ascii="Times New Roman" w:hAnsi="Times New Roman" w:cs="Times New Roman"/>
                <w:b w:val="0"/>
                <w:bCs w:val="0"/>
                <w:sz w:val="21"/>
                <w:szCs w:val="21"/>
                <w:highlight w:val="none"/>
                <w:lang w:val="en-US" w:eastAsia="zh-CN"/>
              </w:rPr>
              <w:t>的洁净房生产，不与老产品使用相同设备。新增塑料零部件均为小型产品，生产件数相较于重量大幅增加。</w:t>
            </w:r>
          </w:p>
          <w:p>
            <w:pPr>
              <w:pStyle w:val="29"/>
              <w:keepNext w:val="0"/>
              <w:keepLines w:val="0"/>
              <w:pageBreakBefore w:val="0"/>
              <w:widowControl/>
              <w:numPr>
                <w:ilvl w:val="0"/>
                <w:numId w:val="0"/>
              </w:numPr>
              <w:kinsoku/>
              <w:wordWrap/>
              <w:overflowPunct/>
              <w:topLinePunct w:val="0"/>
              <w:autoSpaceDE/>
              <w:autoSpaceDN/>
              <w:bidi w:val="0"/>
              <w:adjustRightInd/>
              <w:snapToGrid w:val="0"/>
              <w:spacing w:before="0" w:line="360" w:lineRule="auto"/>
              <w:ind w:leftChars="0" w:right="0" w:rightChars="0" w:firstLine="422" w:firstLineChars="200"/>
              <w:jc w:val="both"/>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3、项目</w:t>
            </w:r>
            <w:r>
              <w:rPr>
                <w:rFonts w:hint="default" w:ascii="Times New Roman" w:hAnsi="Times New Roman" w:eastAsia="宋体" w:cs="Times New Roman"/>
                <w:b/>
                <w:bCs/>
                <w:color w:val="auto"/>
                <w:sz w:val="21"/>
                <w:szCs w:val="21"/>
                <w:highlight w:val="none"/>
              </w:rPr>
              <w:t>主要设</w:t>
            </w:r>
            <w:r>
              <w:rPr>
                <w:rFonts w:hint="default" w:ascii="Times New Roman" w:hAnsi="Times New Roman" w:eastAsia="宋体" w:cs="Times New Roman"/>
                <w:b/>
                <w:color w:val="auto"/>
                <w:sz w:val="21"/>
                <w:szCs w:val="21"/>
                <w:highlight w:val="none"/>
              </w:rPr>
              <w:t>施</w:t>
            </w:r>
            <w:r>
              <w:rPr>
                <w:rFonts w:hint="default" w:ascii="Times New Roman" w:hAnsi="Times New Roman" w:eastAsia="宋体" w:cs="Times New Roman"/>
                <w:b/>
                <w:color w:val="auto"/>
                <w:sz w:val="21"/>
                <w:szCs w:val="21"/>
                <w:highlight w:val="none"/>
                <w:lang w:val="en-US" w:eastAsia="zh-CN"/>
              </w:rPr>
              <w:t>及原辅料情况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本项目主要设备见表2-3，主要原辅料使用情况见表2-4，主要原辅料理化性质见表2-5。</w:t>
            </w:r>
          </w:p>
          <w:p>
            <w:pPr>
              <w:pStyle w:val="29"/>
              <w:keepNext w:val="0"/>
              <w:keepLines w:val="0"/>
              <w:pageBreakBefore w:val="0"/>
              <w:widowControl w:val="0"/>
              <w:kinsoku/>
              <w:wordWrap/>
              <w:overflowPunct/>
              <w:topLinePunct w:val="0"/>
              <w:autoSpaceDE/>
              <w:autoSpaceDN/>
              <w:bidi w:val="0"/>
              <w:adjustRightInd/>
              <w:snapToGrid w:val="0"/>
              <w:spacing w:beforeLines="50" w:line="240" w:lineRule="auto"/>
              <w:textAlignment w:val="auto"/>
              <w:rPr>
                <w:rFonts w:hint="default" w:ascii="Times New Roman" w:hAnsi="Times New Roman" w:cs="Times New Roman"/>
                <w:b/>
                <w:sz w:val="21"/>
                <w:szCs w:val="21"/>
                <w:highlight w:val="yellow"/>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w:t>
            </w:r>
            <w:r>
              <w:rPr>
                <w:rFonts w:hint="eastAsia" w:ascii="Times New Roman" w:hAnsi="Times New Roman" w:cs="Times New Roman"/>
                <w:b/>
                <w:sz w:val="21"/>
                <w:szCs w:val="21"/>
                <w:lang w:val="en-US" w:eastAsia="zh-CN"/>
              </w:rPr>
              <w:t>3</w:t>
            </w:r>
            <w:r>
              <w:rPr>
                <w:rFonts w:hint="default" w:ascii="Times New Roman" w:hAnsi="Times New Roman" w:cs="Times New Roman"/>
                <w:b/>
                <w:sz w:val="21"/>
                <w:szCs w:val="21"/>
              </w:rPr>
              <w:t xml:space="preserve"> </w:t>
            </w:r>
            <w:r>
              <w:rPr>
                <w:rFonts w:hint="default" w:ascii="Times New Roman" w:hAnsi="Times New Roman" w:cs="Times New Roman"/>
                <w:b/>
                <w:sz w:val="21"/>
                <w:szCs w:val="21"/>
                <w:highlight w:val="none"/>
              </w:rPr>
              <w:t>主要生产及辅助设备</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40" w:type="dxa"/>
                <w:left w:w="40" w:type="dxa"/>
                <w:bottom w:w="40" w:type="dxa"/>
                <w:right w:w="40" w:type="dxa"/>
              </w:tblCellMar>
            </w:tblPr>
            <w:tblGrid>
              <w:gridCol w:w="970"/>
              <w:gridCol w:w="1812"/>
              <w:gridCol w:w="1836"/>
              <w:gridCol w:w="1226"/>
              <w:gridCol w:w="1228"/>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restart"/>
                  <w:tcBorders>
                    <w:tl2br w:val="nil"/>
                    <w:tr2bl w:val="nil"/>
                  </w:tcBorders>
                  <w:vAlign w:val="center"/>
                </w:tcPr>
                <w:p>
                  <w:pPr>
                    <w:pStyle w:val="29"/>
                    <w:adjustRightInd w:val="0"/>
                    <w:snapToGrid w:val="0"/>
                    <w:spacing w:line="240" w:lineRule="auto"/>
                    <w:ind w:left="0" w:leftChars="0"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类型</w:t>
                  </w:r>
                </w:p>
              </w:tc>
              <w:tc>
                <w:tcPr>
                  <w:tcW w:w="1091" w:type="pct"/>
                  <w:vMerge w:val="restart"/>
                  <w:tcBorders>
                    <w:tl2br w:val="nil"/>
                    <w:tr2bl w:val="nil"/>
                  </w:tcBorders>
                  <w:vAlign w:val="center"/>
                </w:tcPr>
                <w:p>
                  <w:pPr>
                    <w:pStyle w:val="29"/>
                    <w:adjustRightInd w:val="0"/>
                    <w:snapToGrid w:val="0"/>
                    <w:spacing w:line="240" w:lineRule="auto"/>
                    <w:ind w:left="0" w:leftChars="0"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设备名称</w:t>
                  </w:r>
                </w:p>
              </w:tc>
              <w:tc>
                <w:tcPr>
                  <w:tcW w:w="1105" w:type="pct"/>
                  <w:vMerge w:val="restart"/>
                  <w:tcBorders>
                    <w:tl2br w:val="nil"/>
                    <w:tr2bl w:val="nil"/>
                  </w:tcBorders>
                  <w:vAlign w:val="center"/>
                </w:tcPr>
                <w:p>
                  <w:pPr>
                    <w:pStyle w:val="29"/>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规格/型号</w:t>
                  </w:r>
                </w:p>
              </w:tc>
              <w:tc>
                <w:tcPr>
                  <w:tcW w:w="2218" w:type="pct"/>
                  <w:gridSpan w:val="3"/>
                  <w:tcBorders>
                    <w:tl2br w:val="nil"/>
                    <w:tr2bl w:val="nil"/>
                  </w:tcBorders>
                  <w:vAlign w:val="center"/>
                </w:tcPr>
                <w:p>
                  <w:pPr>
                    <w:pStyle w:val="29"/>
                    <w:adjustRightInd w:val="0"/>
                    <w:snapToGrid w:val="0"/>
                    <w:spacing w:line="240" w:lineRule="auto"/>
                    <w:jc w:val="center"/>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数量（台）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pStyle w:val="29"/>
                    <w:adjustRightInd w:val="0"/>
                    <w:snapToGrid w:val="0"/>
                    <w:spacing w:line="240" w:lineRule="auto"/>
                    <w:jc w:val="center"/>
                    <w:rPr>
                      <w:rFonts w:hint="default" w:ascii="Times New Roman" w:hAnsi="Times New Roman" w:cs="Times New Roman"/>
                      <w:b/>
                      <w:bCs/>
                      <w:sz w:val="18"/>
                      <w:szCs w:val="18"/>
                    </w:rPr>
                  </w:pPr>
                </w:p>
              </w:tc>
              <w:tc>
                <w:tcPr>
                  <w:tcW w:w="1091" w:type="pct"/>
                  <w:vMerge w:val="continue"/>
                  <w:tcBorders>
                    <w:tl2br w:val="nil"/>
                    <w:tr2bl w:val="nil"/>
                  </w:tcBorders>
                  <w:vAlign w:val="center"/>
                </w:tcPr>
                <w:p>
                  <w:pPr>
                    <w:pStyle w:val="29"/>
                    <w:adjustRightInd w:val="0"/>
                    <w:snapToGrid w:val="0"/>
                    <w:spacing w:line="240" w:lineRule="auto"/>
                    <w:jc w:val="center"/>
                    <w:rPr>
                      <w:rFonts w:hint="default" w:ascii="Times New Roman" w:hAnsi="Times New Roman" w:cs="Times New Roman"/>
                      <w:b/>
                      <w:bCs/>
                      <w:sz w:val="18"/>
                      <w:szCs w:val="18"/>
                    </w:rPr>
                  </w:pPr>
                </w:p>
              </w:tc>
              <w:tc>
                <w:tcPr>
                  <w:tcW w:w="1105" w:type="pct"/>
                  <w:vMerge w:val="continue"/>
                  <w:tcBorders>
                    <w:tl2br w:val="nil"/>
                    <w:tr2bl w:val="nil"/>
                  </w:tcBorders>
                  <w:vAlign w:val="center"/>
                </w:tcPr>
                <w:p>
                  <w:pPr>
                    <w:pStyle w:val="29"/>
                    <w:adjustRightInd w:val="0"/>
                    <w:snapToGrid w:val="0"/>
                    <w:spacing w:line="240" w:lineRule="auto"/>
                    <w:jc w:val="center"/>
                    <w:rPr>
                      <w:rFonts w:hint="default" w:ascii="Times New Roman" w:hAnsi="Times New Roman" w:cs="Times New Roman"/>
                      <w:b/>
                      <w:bCs/>
                      <w:sz w:val="18"/>
                      <w:szCs w:val="18"/>
                    </w:rPr>
                  </w:pPr>
                </w:p>
              </w:tc>
              <w:tc>
                <w:tcPr>
                  <w:tcW w:w="738" w:type="pct"/>
                  <w:tcBorders>
                    <w:tl2br w:val="nil"/>
                    <w:tr2bl w:val="nil"/>
                  </w:tcBorders>
                  <w:vAlign w:val="center"/>
                </w:tcPr>
                <w:p>
                  <w:pPr>
                    <w:pStyle w:val="29"/>
                    <w:adjustRightInd w:val="0"/>
                    <w:snapToGrid w:val="0"/>
                    <w:spacing w:line="240" w:lineRule="auto"/>
                    <w:ind w:firstLine="90" w:firstLineChars="50"/>
                    <w:jc w:val="center"/>
                    <w:rPr>
                      <w:rFonts w:hint="default" w:ascii="Times New Roman" w:hAnsi="Times New Roman" w:eastAsia="宋体" w:cs="Times New Roman"/>
                      <w:b/>
                      <w:bCs/>
                      <w:sz w:val="18"/>
                      <w:szCs w:val="18"/>
                      <w:lang w:eastAsia="zh-CN"/>
                    </w:rPr>
                  </w:pPr>
                  <w:r>
                    <w:rPr>
                      <w:rFonts w:hint="eastAsia" w:ascii="Times New Roman" w:hAnsi="Times New Roman" w:cs="Times New Roman"/>
                      <w:b/>
                      <w:bCs/>
                      <w:sz w:val="18"/>
                      <w:szCs w:val="18"/>
                      <w:lang w:val="en-US" w:eastAsia="zh-CN"/>
                    </w:rPr>
                    <w:t>技改</w:t>
                  </w:r>
                  <w:r>
                    <w:rPr>
                      <w:rFonts w:hint="default" w:ascii="Times New Roman" w:hAnsi="Times New Roman" w:cs="Times New Roman"/>
                      <w:b/>
                      <w:bCs/>
                      <w:sz w:val="18"/>
                      <w:szCs w:val="18"/>
                      <w:lang w:eastAsia="zh-CN"/>
                    </w:rPr>
                    <w:t>前</w:t>
                  </w:r>
                </w:p>
              </w:tc>
              <w:tc>
                <w:tcPr>
                  <w:tcW w:w="739" w:type="pct"/>
                  <w:tcBorders>
                    <w:tl2br w:val="nil"/>
                    <w:tr2bl w:val="nil"/>
                  </w:tcBorders>
                  <w:vAlign w:val="center"/>
                </w:tcPr>
                <w:p>
                  <w:pPr>
                    <w:pStyle w:val="29"/>
                    <w:adjustRightInd w:val="0"/>
                    <w:snapToGrid w:val="0"/>
                    <w:spacing w:line="240" w:lineRule="auto"/>
                    <w:ind w:firstLine="90" w:firstLineChars="50"/>
                    <w:jc w:val="center"/>
                    <w:rPr>
                      <w:rFonts w:hint="default" w:ascii="Times New Roman" w:hAnsi="Times New Roman" w:eastAsia="宋体" w:cs="Times New Roman"/>
                      <w:b/>
                      <w:bCs/>
                      <w:sz w:val="18"/>
                      <w:szCs w:val="18"/>
                      <w:lang w:eastAsia="zh-CN"/>
                    </w:rPr>
                  </w:pPr>
                  <w:r>
                    <w:rPr>
                      <w:rFonts w:hint="eastAsia" w:ascii="Times New Roman" w:hAnsi="Times New Roman" w:cs="Times New Roman"/>
                      <w:b/>
                      <w:bCs/>
                      <w:sz w:val="18"/>
                      <w:szCs w:val="18"/>
                      <w:lang w:val="en-US" w:eastAsia="zh-CN"/>
                    </w:rPr>
                    <w:t>技改</w:t>
                  </w:r>
                  <w:r>
                    <w:rPr>
                      <w:rFonts w:hint="default" w:ascii="Times New Roman" w:hAnsi="Times New Roman" w:cs="Times New Roman"/>
                      <w:b/>
                      <w:bCs/>
                      <w:sz w:val="18"/>
                      <w:szCs w:val="18"/>
                      <w:lang w:eastAsia="zh-CN"/>
                    </w:rPr>
                    <w:t>后</w:t>
                  </w:r>
                </w:p>
              </w:tc>
              <w:tc>
                <w:tcPr>
                  <w:tcW w:w="740" w:type="pct"/>
                  <w:tcBorders>
                    <w:tl2br w:val="nil"/>
                    <w:tr2bl w:val="nil"/>
                  </w:tcBorders>
                  <w:vAlign w:val="center"/>
                </w:tcPr>
                <w:p>
                  <w:pPr>
                    <w:widowControl/>
                    <w:jc w:val="center"/>
                    <w:rPr>
                      <w:rFonts w:hint="default" w:ascii="Times New Roman" w:hAnsi="Times New Roman" w:eastAsia="宋体" w:cs="Times New Roman"/>
                      <w:b/>
                      <w:bCs/>
                      <w:sz w:val="18"/>
                      <w:szCs w:val="18"/>
                      <w:lang w:eastAsia="zh-CN"/>
                    </w:rPr>
                  </w:pPr>
                  <w:r>
                    <w:rPr>
                      <w:rFonts w:hint="default" w:ascii="Times New Roman" w:hAnsi="Times New Roman" w:cs="Times New Roman"/>
                      <w:b/>
                      <w:bCs/>
                      <w:sz w:val="18"/>
                      <w:szCs w:val="18"/>
                      <w:lang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restar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生产及辅助设备</w:t>
                  </w:r>
                </w:p>
              </w:tc>
              <w:tc>
                <w:tcPr>
                  <w:tcW w:w="1091" w:type="pct"/>
                  <w:tcBorders>
                    <w:tl2br w:val="nil"/>
                    <w:tr2bl w:val="nil"/>
                  </w:tcBorders>
                  <w:vAlign w:val="center"/>
                </w:tcPr>
                <w:p>
                  <w:pPr>
                    <w:jc w:val="center"/>
                    <w:rPr>
                      <w:rFonts w:hint="default" w:ascii="Times New Roman" w:hAnsi="Times New Roman" w:cs="Times New Roman"/>
                      <w:b w:val="0"/>
                      <w:bCs/>
                      <w:color w:val="auto"/>
                      <w:sz w:val="18"/>
                      <w:szCs w:val="18"/>
                    </w:rPr>
                  </w:pPr>
                  <w:r>
                    <w:rPr>
                      <w:rFonts w:hint="eastAsia"/>
                      <w:bCs/>
                      <w:color w:val="auto"/>
                      <w:sz w:val="18"/>
                      <w:szCs w:val="18"/>
                    </w:rPr>
                    <w:t>注塑机</w:t>
                  </w:r>
                </w:p>
              </w:tc>
              <w:tc>
                <w:tcPr>
                  <w:tcW w:w="1105" w:type="pct"/>
                  <w:tcBorders>
                    <w:tl2br w:val="nil"/>
                    <w:tr2bl w:val="nil"/>
                  </w:tcBorders>
                  <w:vAlign w:val="center"/>
                </w:tcPr>
                <w:p>
                  <w:pPr>
                    <w:jc w:val="center"/>
                    <w:rPr>
                      <w:rFonts w:hint="default" w:ascii="Times New Roman" w:hAnsi="Times New Roman" w:cs="Times New Roman"/>
                      <w:b w:val="0"/>
                      <w:bCs/>
                      <w:color w:val="auto"/>
                      <w:sz w:val="18"/>
                      <w:szCs w:val="18"/>
                    </w:rPr>
                  </w:pPr>
                  <w:r>
                    <w:rPr>
                      <w:bCs/>
                      <w:color w:val="auto"/>
                      <w:sz w:val="18"/>
                      <w:szCs w:val="18"/>
                    </w:rPr>
                    <w:t>35-530T</w:t>
                  </w:r>
                </w:p>
              </w:tc>
              <w:tc>
                <w:tcPr>
                  <w:tcW w:w="738" w:type="pct"/>
                  <w:tcBorders>
                    <w:tl2br w:val="nil"/>
                    <w:tr2bl w:val="nil"/>
                  </w:tcBorders>
                  <w:vAlign w:val="center"/>
                </w:tcPr>
                <w:p>
                  <w:pPr>
                    <w:jc w:val="center"/>
                    <w:rPr>
                      <w:rFonts w:hint="default" w:ascii="Times New Roman" w:hAnsi="Times New Roman" w:eastAsia="宋体" w:cs="Times New Roman"/>
                      <w:b w:val="0"/>
                      <w:bCs/>
                      <w:color w:val="auto"/>
                      <w:sz w:val="18"/>
                      <w:szCs w:val="18"/>
                      <w:lang w:val="en-US" w:eastAsia="zh-CN"/>
                    </w:rPr>
                  </w:pPr>
                  <w:r>
                    <w:rPr>
                      <w:rFonts w:hint="eastAsia"/>
                      <w:bCs/>
                      <w:color w:val="auto"/>
                      <w:sz w:val="18"/>
                      <w:szCs w:val="18"/>
                      <w:lang w:val="en-US" w:eastAsia="zh-CN"/>
                    </w:rPr>
                    <w:t>19</w:t>
                  </w:r>
                </w:p>
              </w:tc>
              <w:tc>
                <w:tcPr>
                  <w:tcW w:w="739" w:type="pct"/>
                  <w:tcBorders>
                    <w:tl2br w:val="nil"/>
                    <w:tr2bl w:val="nil"/>
                  </w:tcBorders>
                  <w:vAlign w:val="center"/>
                </w:tcPr>
                <w:p>
                  <w:pPr>
                    <w:jc w:val="center"/>
                    <w:rPr>
                      <w:rFonts w:hint="default" w:ascii="Times New Roman" w:hAnsi="Times New Roman" w:cs="Times New Roman"/>
                      <w:b w:val="0"/>
                      <w:bCs/>
                      <w:color w:val="auto"/>
                      <w:sz w:val="18"/>
                      <w:szCs w:val="18"/>
                      <w:lang w:val="en-US" w:eastAsia="zh-CN"/>
                    </w:rPr>
                  </w:pPr>
                  <w:r>
                    <w:rPr>
                      <w:bCs/>
                      <w:color w:val="auto"/>
                      <w:sz w:val="18"/>
                      <w:szCs w:val="18"/>
                    </w:rPr>
                    <w:t>24</w:t>
                  </w:r>
                </w:p>
              </w:tc>
              <w:tc>
                <w:tcPr>
                  <w:tcW w:w="740" w:type="pct"/>
                  <w:tcBorders>
                    <w:tl2br w:val="nil"/>
                    <w:tr2bl w:val="nil"/>
                  </w:tcBorders>
                  <w:vAlign w:val="center"/>
                </w:tcPr>
                <w:p>
                  <w:pPr>
                    <w:jc w:val="center"/>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Times New Roman" w:hAnsi="Times New Roman" w:cs="Times New Roman"/>
                      <w:color w:val="auto"/>
                      <w:sz w:val="18"/>
                      <w:szCs w:val="18"/>
                    </w:rPr>
                  </w:pPr>
                  <w:r>
                    <w:rPr>
                      <w:rFonts w:hint="eastAsia"/>
                      <w:bCs/>
                      <w:color w:val="auto"/>
                      <w:sz w:val="18"/>
                      <w:szCs w:val="18"/>
                    </w:rPr>
                    <w:t>机械手</w:t>
                  </w:r>
                </w:p>
              </w:tc>
              <w:tc>
                <w:tcPr>
                  <w:tcW w:w="1105"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738"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bCs/>
                      <w:color w:val="auto"/>
                      <w:sz w:val="18"/>
                      <w:szCs w:val="18"/>
                    </w:rPr>
                    <w:t>18</w:t>
                  </w:r>
                </w:p>
              </w:tc>
              <w:tc>
                <w:tcPr>
                  <w:tcW w:w="739"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bCs/>
                      <w:color w:val="auto"/>
                      <w:sz w:val="18"/>
                      <w:szCs w:val="18"/>
                    </w:rPr>
                    <w:t>22</w:t>
                  </w:r>
                </w:p>
              </w:tc>
              <w:tc>
                <w:tcPr>
                  <w:tcW w:w="740"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eastAsia" w:cs="Times New Roman"/>
                      <w:b w:val="0"/>
                      <w:bCs/>
                      <w:color w:val="auto"/>
                      <w:sz w:val="18"/>
                      <w:szCs w:val="18"/>
                      <w:lang w:val="en-US" w:eastAsia="zh-CN"/>
                    </w:rPr>
                    <w:t>+</w:t>
                  </w:r>
                  <w:r>
                    <w:rPr>
                      <w:rFonts w:hint="eastAsia" w:cs="Times New Roman"/>
                      <w:color w:val="auto"/>
                      <w:sz w:val="18"/>
                      <w:szCs w:val="18"/>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bCs/>
                      <w:color w:val="auto"/>
                      <w:sz w:val="18"/>
                      <w:szCs w:val="18"/>
                    </w:rPr>
                    <w:t>模温机</w:t>
                  </w:r>
                </w:p>
              </w:tc>
              <w:tc>
                <w:tcPr>
                  <w:tcW w:w="1105" w:type="pct"/>
                  <w:tcBorders>
                    <w:tl2br w:val="nil"/>
                    <w:tr2bl w:val="nil"/>
                  </w:tcBorders>
                  <w:vAlign w:val="center"/>
                </w:tcPr>
                <w:p>
                  <w:pPr>
                    <w:jc w:val="center"/>
                    <w:rPr>
                      <w:rFonts w:hint="default" w:ascii="Times New Roman" w:hAnsi="Times New Roman" w:eastAsia="宋体" w:cs="Times New Roman"/>
                      <w:b/>
                      <w:color w:val="auto"/>
                      <w:sz w:val="18"/>
                      <w:szCs w:val="18"/>
                      <w:lang w:val="en-US" w:eastAsia="zh-CN"/>
                    </w:rPr>
                  </w:pPr>
                  <w:r>
                    <w:rPr>
                      <w:bCs/>
                      <w:color w:val="auto"/>
                      <w:sz w:val="18"/>
                      <w:szCs w:val="18"/>
                    </w:rPr>
                    <w:t>9KW</w:t>
                  </w:r>
                </w:p>
              </w:tc>
              <w:tc>
                <w:tcPr>
                  <w:tcW w:w="738" w:type="pct"/>
                  <w:tcBorders>
                    <w:tl2br w:val="nil"/>
                    <w:tr2bl w:val="nil"/>
                  </w:tcBorders>
                  <w:vAlign w:val="center"/>
                </w:tcPr>
                <w:p>
                  <w:pPr>
                    <w:jc w:val="center"/>
                    <w:rPr>
                      <w:rFonts w:hint="default" w:ascii="Times New Roman" w:hAnsi="Times New Roman" w:eastAsia="宋体" w:cs="Times New Roman"/>
                      <w:b w:val="0"/>
                      <w:bCs w:val="0"/>
                      <w:color w:val="auto"/>
                      <w:sz w:val="18"/>
                      <w:szCs w:val="18"/>
                      <w:lang w:val="en-US" w:eastAsia="zh-CN"/>
                    </w:rPr>
                  </w:pPr>
                  <w:r>
                    <w:rPr>
                      <w:bCs/>
                      <w:color w:val="auto"/>
                      <w:sz w:val="18"/>
                      <w:szCs w:val="18"/>
                    </w:rPr>
                    <w:t>30</w:t>
                  </w:r>
                </w:p>
              </w:tc>
              <w:tc>
                <w:tcPr>
                  <w:tcW w:w="739"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bCs/>
                      <w:color w:val="auto"/>
                      <w:sz w:val="18"/>
                      <w:szCs w:val="18"/>
                    </w:rPr>
                    <w:t>34</w:t>
                  </w:r>
                </w:p>
              </w:tc>
              <w:tc>
                <w:tcPr>
                  <w:tcW w:w="740"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eastAsia" w:cs="Times New Roman"/>
                      <w:b w:val="0"/>
                      <w:bCs/>
                      <w:color w:val="auto"/>
                      <w:sz w:val="18"/>
                      <w:szCs w:val="18"/>
                      <w:lang w:val="en-US" w:eastAsia="zh-CN"/>
                    </w:rPr>
                    <w:t>+</w:t>
                  </w:r>
                  <w:r>
                    <w:rPr>
                      <w:rFonts w:hint="eastAsia" w:cs="Times New Roman"/>
                      <w:color w:val="auto"/>
                      <w:sz w:val="18"/>
                      <w:szCs w:val="18"/>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Times New Roman" w:hAnsi="Times New Roman" w:cs="Times New Roman"/>
                      <w:color w:val="auto"/>
                      <w:sz w:val="18"/>
                      <w:szCs w:val="18"/>
                    </w:rPr>
                  </w:pPr>
                  <w:r>
                    <w:rPr>
                      <w:rFonts w:hint="eastAsia"/>
                      <w:bCs/>
                      <w:color w:val="auto"/>
                      <w:sz w:val="18"/>
                      <w:szCs w:val="18"/>
                    </w:rPr>
                    <w:t>干燥机</w:t>
                  </w:r>
                </w:p>
              </w:tc>
              <w:tc>
                <w:tcPr>
                  <w:tcW w:w="1105"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738" w:type="pct"/>
                  <w:tcBorders>
                    <w:tl2br w:val="nil"/>
                    <w:tr2bl w:val="nil"/>
                  </w:tcBorders>
                  <w:vAlign w:val="center"/>
                </w:tcPr>
                <w:p>
                  <w:pPr>
                    <w:jc w:val="center"/>
                    <w:rPr>
                      <w:rFonts w:hint="default" w:ascii="Times New Roman" w:hAnsi="Times New Roman" w:eastAsia="宋体" w:cs="Times New Roman"/>
                      <w:b w:val="0"/>
                      <w:bCs w:val="0"/>
                      <w:color w:val="auto"/>
                      <w:sz w:val="18"/>
                      <w:szCs w:val="18"/>
                      <w:lang w:val="en-US" w:eastAsia="zh-CN"/>
                    </w:rPr>
                  </w:pPr>
                  <w:r>
                    <w:rPr>
                      <w:bCs/>
                      <w:color w:val="auto"/>
                      <w:sz w:val="18"/>
                      <w:szCs w:val="18"/>
                    </w:rPr>
                    <w:t>20</w:t>
                  </w:r>
                </w:p>
              </w:tc>
              <w:tc>
                <w:tcPr>
                  <w:tcW w:w="739"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bCs/>
                      <w:color w:val="auto"/>
                      <w:sz w:val="18"/>
                      <w:szCs w:val="18"/>
                    </w:rPr>
                    <w:t>23</w:t>
                  </w:r>
                </w:p>
              </w:tc>
              <w:tc>
                <w:tcPr>
                  <w:tcW w:w="740"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b w:val="0"/>
                      <w:bCs/>
                      <w:color w:val="auto"/>
                      <w:sz w:val="18"/>
                      <w:szCs w:val="18"/>
                      <w:lang w:val="en-US" w:eastAsia="zh-CN"/>
                    </w:rPr>
                    <w:t>+</w:t>
                  </w:r>
                  <w:r>
                    <w:rPr>
                      <w:rFonts w:hint="eastAsia" w:cs="Times New Roman"/>
                      <w:color w:val="auto"/>
                      <w:sz w:val="18"/>
                      <w:szCs w:val="18"/>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bCs/>
                      <w:color w:val="auto"/>
                      <w:sz w:val="18"/>
                      <w:szCs w:val="18"/>
                    </w:rPr>
                    <w:t>模温机</w:t>
                  </w:r>
                </w:p>
              </w:tc>
              <w:tc>
                <w:tcPr>
                  <w:tcW w:w="1105" w:type="pct"/>
                  <w:tcBorders>
                    <w:tl2br w:val="nil"/>
                    <w:tr2bl w:val="nil"/>
                  </w:tcBorders>
                  <w:vAlign w:val="center"/>
                </w:tcPr>
                <w:p>
                  <w:pPr>
                    <w:jc w:val="center"/>
                    <w:rPr>
                      <w:rFonts w:hint="default" w:ascii="Times New Roman" w:hAnsi="Times New Roman" w:cs="Times New Roman"/>
                      <w:color w:val="auto"/>
                      <w:sz w:val="18"/>
                      <w:szCs w:val="18"/>
                    </w:rPr>
                  </w:pPr>
                  <w:r>
                    <w:rPr>
                      <w:bCs/>
                      <w:color w:val="auto"/>
                      <w:sz w:val="18"/>
                      <w:szCs w:val="18"/>
                    </w:rPr>
                    <w:t>MC5-G1-200H130</w:t>
                  </w:r>
                </w:p>
              </w:tc>
              <w:tc>
                <w:tcPr>
                  <w:tcW w:w="738" w:type="pct"/>
                  <w:tcBorders>
                    <w:tl2br w:val="nil"/>
                    <w:tr2bl w:val="nil"/>
                  </w:tcBorders>
                  <w:vAlign w:val="center"/>
                </w:tcPr>
                <w:p>
                  <w:pPr>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31</w:t>
                  </w:r>
                </w:p>
              </w:tc>
              <w:tc>
                <w:tcPr>
                  <w:tcW w:w="739"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36</w:t>
                  </w:r>
                </w:p>
              </w:tc>
              <w:tc>
                <w:tcPr>
                  <w:tcW w:w="740"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Times New Roman" w:hAnsi="Times New Roman" w:cs="Times New Roman"/>
                      <w:sz w:val="18"/>
                      <w:szCs w:val="18"/>
                    </w:rPr>
                  </w:pPr>
                  <w:r>
                    <w:rPr>
                      <w:rFonts w:hint="eastAsia"/>
                      <w:bCs/>
                      <w:sz w:val="18"/>
                      <w:szCs w:val="18"/>
                    </w:rPr>
                    <w:t>粉碎机</w:t>
                  </w:r>
                </w:p>
              </w:tc>
              <w:tc>
                <w:tcPr>
                  <w:tcW w:w="1105" w:type="pct"/>
                  <w:tcBorders>
                    <w:tl2br w:val="nil"/>
                    <w:tr2bl w:val="nil"/>
                  </w:tcBorders>
                  <w:vAlign w:val="center"/>
                </w:tcPr>
                <w:p>
                  <w:pPr>
                    <w:jc w:val="center"/>
                    <w:rPr>
                      <w:rFonts w:hint="default" w:ascii="Times New Roman" w:hAnsi="Times New Roman" w:cs="Times New Roman"/>
                      <w:color w:val="auto"/>
                      <w:sz w:val="18"/>
                      <w:szCs w:val="18"/>
                    </w:rPr>
                  </w:pPr>
                  <w:r>
                    <w:rPr>
                      <w:bCs/>
                      <w:sz w:val="18"/>
                      <w:szCs w:val="18"/>
                    </w:rPr>
                    <w:t>SG-500JVB</w:t>
                  </w:r>
                </w:p>
              </w:tc>
              <w:tc>
                <w:tcPr>
                  <w:tcW w:w="738" w:type="pct"/>
                  <w:tcBorders>
                    <w:tl2br w:val="nil"/>
                    <w:tr2bl w:val="nil"/>
                  </w:tcBorders>
                  <w:vAlign w:val="center"/>
                </w:tcPr>
                <w:p>
                  <w:pPr>
                    <w:jc w:val="center"/>
                    <w:rPr>
                      <w:rFonts w:hint="default" w:ascii="Times New Roman" w:hAnsi="Times New Roman" w:eastAsia="宋体" w:cs="Times New Roman"/>
                      <w:b w:val="0"/>
                      <w:bCs w:val="0"/>
                      <w:color w:val="auto"/>
                      <w:sz w:val="18"/>
                      <w:szCs w:val="18"/>
                      <w:lang w:val="en-US" w:eastAsia="zh-CN"/>
                    </w:rPr>
                  </w:pPr>
                  <w:r>
                    <w:rPr>
                      <w:bCs/>
                      <w:sz w:val="18"/>
                      <w:szCs w:val="18"/>
                    </w:rPr>
                    <w:t>4</w:t>
                  </w:r>
                </w:p>
              </w:tc>
              <w:tc>
                <w:tcPr>
                  <w:tcW w:w="739" w:type="pct"/>
                  <w:tcBorders>
                    <w:tl2br w:val="nil"/>
                    <w:tr2bl w:val="nil"/>
                  </w:tcBorders>
                  <w:vAlign w:val="center"/>
                </w:tcPr>
                <w:p>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bCs/>
                      <w:sz w:val="18"/>
                      <w:szCs w:val="18"/>
                    </w:rPr>
                    <w:t>4</w:t>
                  </w:r>
                </w:p>
              </w:tc>
              <w:tc>
                <w:tcPr>
                  <w:tcW w:w="740"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eastAsia="宋体"/>
                      <w:bCs/>
                      <w:sz w:val="18"/>
                      <w:szCs w:val="18"/>
                      <w:lang w:val="en-US" w:eastAsia="zh-CN"/>
                    </w:rPr>
                  </w:pPr>
                  <w:r>
                    <w:rPr>
                      <w:rFonts w:hint="eastAsia"/>
                      <w:bCs/>
                      <w:sz w:val="18"/>
                      <w:szCs w:val="18"/>
                      <w:lang w:val="en-US" w:eastAsia="zh-CN"/>
                    </w:rPr>
                    <w:t>U型流水线</w:t>
                  </w:r>
                </w:p>
              </w:tc>
              <w:tc>
                <w:tcPr>
                  <w:tcW w:w="1105" w:type="pct"/>
                  <w:tcBorders>
                    <w:tl2br w:val="nil"/>
                    <w:tr2bl w:val="nil"/>
                  </w:tcBorders>
                  <w:vAlign w:val="center"/>
                </w:tcPr>
                <w:p>
                  <w:pPr>
                    <w:jc w:val="center"/>
                    <w:rPr>
                      <w:rFonts w:hint="eastAsia" w:eastAsia="宋体"/>
                      <w:bCs/>
                      <w:sz w:val="18"/>
                      <w:szCs w:val="18"/>
                      <w:lang w:val="en-US" w:eastAsia="zh-CN"/>
                    </w:rPr>
                  </w:pPr>
                  <w:r>
                    <w:rPr>
                      <w:rFonts w:hint="eastAsia"/>
                      <w:bCs/>
                      <w:sz w:val="18"/>
                      <w:szCs w:val="18"/>
                      <w:lang w:val="en-US" w:eastAsia="zh-CN"/>
                    </w:rPr>
                    <w:t>/</w:t>
                  </w:r>
                </w:p>
              </w:tc>
              <w:tc>
                <w:tcPr>
                  <w:tcW w:w="738" w:type="pct"/>
                  <w:tcBorders>
                    <w:tl2br w:val="nil"/>
                    <w:tr2bl w:val="nil"/>
                  </w:tcBorders>
                  <w:vAlign w:val="center"/>
                </w:tcPr>
                <w:p>
                  <w:pPr>
                    <w:jc w:val="center"/>
                    <w:rPr>
                      <w:rFonts w:hint="eastAsia" w:eastAsia="宋体"/>
                      <w:bCs/>
                      <w:sz w:val="18"/>
                      <w:szCs w:val="18"/>
                      <w:lang w:val="en-US" w:eastAsia="zh-CN"/>
                    </w:rPr>
                  </w:pPr>
                  <w:r>
                    <w:rPr>
                      <w:rFonts w:hint="eastAsia"/>
                      <w:bCs/>
                      <w:sz w:val="18"/>
                      <w:szCs w:val="18"/>
                      <w:lang w:val="en-US" w:eastAsia="zh-CN"/>
                    </w:rPr>
                    <w:t>1</w:t>
                  </w:r>
                </w:p>
              </w:tc>
              <w:tc>
                <w:tcPr>
                  <w:tcW w:w="739" w:type="pct"/>
                  <w:tcBorders>
                    <w:tl2br w:val="nil"/>
                    <w:tr2bl w:val="nil"/>
                  </w:tcBorders>
                  <w:vAlign w:val="center"/>
                </w:tcPr>
                <w:p>
                  <w:pPr>
                    <w:jc w:val="center"/>
                    <w:rPr>
                      <w:rFonts w:hint="eastAsia" w:eastAsia="宋体"/>
                      <w:bCs/>
                      <w:sz w:val="18"/>
                      <w:szCs w:val="18"/>
                      <w:lang w:val="en-US" w:eastAsia="zh-CN"/>
                    </w:rPr>
                  </w:pPr>
                  <w:r>
                    <w:rPr>
                      <w:rFonts w:hint="eastAsia"/>
                      <w:bCs/>
                      <w:sz w:val="18"/>
                      <w:szCs w:val="18"/>
                      <w:lang w:val="en-US" w:eastAsia="zh-CN"/>
                    </w:rPr>
                    <w:t>1</w:t>
                  </w:r>
                </w:p>
              </w:tc>
              <w:tc>
                <w:tcPr>
                  <w:tcW w:w="740" w:type="pct"/>
                  <w:tcBorders>
                    <w:tl2br w:val="nil"/>
                    <w:tr2bl w:val="nil"/>
                  </w:tcBorders>
                  <w:vAlign w:val="center"/>
                </w:tcPr>
                <w:p>
                  <w:pPr>
                    <w:jc w:val="center"/>
                    <w:rPr>
                      <w:rFonts w:hint="eastAsia" w:cs="Times New Roman"/>
                      <w:b w:val="0"/>
                      <w:bCs/>
                      <w:color w:val="auto"/>
                      <w:sz w:val="18"/>
                      <w:szCs w:val="18"/>
                      <w:lang w:val="en-US" w:eastAsia="zh-CN"/>
                    </w:rPr>
                  </w:pPr>
                  <w:r>
                    <w:rPr>
                      <w:rFonts w:hint="eastAsia" w:cs="Times New Roman"/>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eastAsia" w:eastAsia="宋体"/>
                      <w:bCs/>
                      <w:sz w:val="18"/>
                      <w:szCs w:val="18"/>
                      <w:lang w:val="en-US" w:eastAsia="zh-CN"/>
                    </w:rPr>
                  </w:pPr>
                  <w:r>
                    <w:rPr>
                      <w:rFonts w:hint="eastAsia"/>
                      <w:bCs/>
                      <w:sz w:val="18"/>
                      <w:szCs w:val="18"/>
                      <w:lang w:val="en-US" w:eastAsia="zh-CN"/>
                    </w:rPr>
                    <w:t>热熔设备</w:t>
                  </w:r>
                </w:p>
              </w:tc>
              <w:tc>
                <w:tcPr>
                  <w:tcW w:w="1105" w:type="pct"/>
                  <w:tcBorders>
                    <w:tl2br w:val="nil"/>
                    <w:tr2bl w:val="nil"/>
                  </w:tcBorders>
                  <w:vAlign w:val="center"/>
                </w:tcPr>
                <w:p>
                  <w:pPr>
                    <w:jc w:val="center"/>
                    <w:rPr>
                      <w:rFonts w:hint="eastAsia" w:eastAsia="宋体"/>
                      <w:bCs/>
                      <w:sz w:val="18"/>
                      <w:szCs w:val="18"/>
                      <w:lang w:val="en-US" w:eastAsia="zh-CN"/>
                    </w:rPr>
                  </w:pPr>
                  <w:r>
                    <w:rPr>
                      <w:rFonts w:hint="eastAsia"/>
                      <w:bCs/>
                      <w:sz w:val="18"/>
                      <w:szCs w:val="18"/>
                      <w:lang w:val="en-US" w:eastAsia="zh-CN"/>
                    </w:rPr>
                    <w:t>/</w:t>
                  </w:r>
                </w:p>
              </w:tc>
              <w:tc>
                <w:tcPr>
                  <w:tcW w:w="738" w:type="pct"/>
                  <w:tcBorders>
                    <w:tl2br w:val="nil"/>
                    <w:tr2bl w:val="nil"/>
                  </w:tcBorders>
                  <w:vAlign w:val="center"/>
                </w:tcPr>
                <w:p>
                  <w:pPr>
                    <w:jc w:val="center"/>
                    <w:rPr>
                      <w:rFonts w:hint="default" w:eastAsia="宋体"/>
                      <w:bCs/>
                      <w:sz w:val="18"/>
                      <w:szCs w:val="18"/>
                      <w:lang w:val="en-US" w:eastAsia="zh-CN"/>
                    </w:rPr>
                  </w:pPr>
                  <w:r>
                    <w:rPr>
                      <w:rFonts w:hint="eastAsia"/>
                      <w:bCs/>
                      <w:sz w:val="18"/>
                      <w:szCs w:val="18"/>
                      <w:lang w:val="en-US" w:eastAsia="zh-CN"/>
                    </w:rPr>
                    <w:t>12</w:t>
                  </w:r>
                </w:p>
              </w:tc>
              <w:tc>
                <w:tcPr>
                  <w:tcW w:w="739" w:type="pct"/>
                  <w:tcBorders>
                    <w:tl2br w:val="nil"/>
                    <w:tr2bl w:val="nil"/>
                  </w:tcBorders>
                  <w:vAlign w:val="center"/>
                </w:tcPr>
                <w:p>
                  <w:pPr>
                    <w:jc w:val="center"/>
                    <w:rPr>
                      <w:rFonts w:hint="default" w:eastAsia="宋体"/>
                      <w:bCs/>
                      <w:sz w:val="18"/>
                      <w:szCs w:val="18"/>
                      <w:lang w:val="en-US" w:eastAsia="zh-CN"/>
                    </w:rPr>
                  </w:pPr>
                  <w:r>
                    <w:rPr>
                      <w:rFonts w:hint="eastAsia"/>
                      <w:bCs/>
                      <w:sz w:val="18"/>
                      <w:szCs w:val="18"/>
                      <w:lang w:val="en-US" w:eastAsia="zh-CN"/>
                    </w:rPr>
                    <w:t>12</w:t>
                  </w:r>
                </w:p>
              </w:tc>
              <w:tc>
                <w:tcPr>
                  <w:tcW w:w="740" w:type="pct"/>
                  <w:tcBorders>
                    <w:tl2br w:val="nil"/>
                    <w:tr2bl w:val="nil"/>
                  </w:tcBorders>
                  <w:vAlign w:val="center"/>
                </w:tcPr>
                <w:p>
                  <w:pPr>
                    <w:jc w:val="center"/>
                    <w:rPr>
                      <w:rFonts w:hint="eastAsia" w:cs="Times New Roman"/>
                      <w:b w:val="0"/>
                      <w:bCs/>
                      <w:color w:val="auto"/>
                      <w:sz w:val="18"/>
                      <w:szCs w:val="18"/>
                      <w:lang w:val="en-US" w:eastAsia="zh-CN"/>
                    </w:rPr>
                  </w:pPr>
                  <w:r>
                    <w:rPr>
                      <w:rFonts w:hint="eastAsia" w:cs="Times New Roman"/>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eastAsia"/>
                      <w:bCs/>
                      <w:sz w:val="18"/>
                      <w:szCs w:val="18"/>
                    </w:rPr>
                    <w:t>装配生产设备</w:t>
                  </w:r>
                </w:p>
              </w:tc>
              <w:tc>
                <w:tcPr>
                  <w:tcW w:w="1091" w:type="pct"/>
                  <w:tcBorders>
                    <w:tl2br w:val="nil"/>
                    <w:tr2bl w:val="nil"/>
                  </w:tcBorders>
                  <w:vAlign w:val="center"/>
                </w:tcPr>
                <w:p>
                  <w:pPr>
                    <w:jc w:val="center"/>
                    <w:rPr>
                      <w:rFonts w:hint="eastAsia" w:ascii="Times New Roman" w:hAnsi="Times New Roman" w:cs="Times New Roman"/>
                      <w:color w:val="auto"/>
                      <w:sz w:val="18"/>
                      <w:szCs w:val="18"/>
                      <w:highlight w:val="none"/>
                      <w:lang w:val="en-US" w:eastAsia="zh-CN"/>
                    </w:rPr>
                  </w:pPr>
                  <w:r>
                    <w:rPr>
                      <w:rFonts w:hint="eastAsia" w:ascii="Arial" w:hAnsi="Arial" w:cs="Arial"/>
                      <w:bCs/>
                      <w:color w:val="auto"/>
                      <w:sz w:val="18"/>
                      <w:szCs w:val="18"/>
                    </w:rPr>
                    <w:t>操作台及工具</w:t>
                  </w:r>
                </w:p>
              </w:tc>
              <w:tc>
                <w:tcPr>
                  <w:tcW w:w="1105" w:type="pct"/>
                  <w:tcBorders>
                    <w:tl2br w:val="nil"/>
                    <w:tr2bl w:val="nil"/>
                  </w:tcBorders>
                  <w:vAlign w:val="center"/>
                </w:tcPr>
                <w:p>
                  <w:pPr>
                    <w:jc w:val="center"/>
                    <w:rPr>
                      <w:rFonts w:hint="eastAsia" w:ascii="Times New Roman" w:hAnsi="Times New Roman" w:cs="Times New Roman"/>
                      <w:color w:val="auto"/>
                      <w:sz w:val="18"/>
                      <w:szCs w:val="18"/>
                      <w:highlight w:val="none"/>
                      <w:lang w:val="en-US" w:eastAsia="zh-CN"/>
                    </w:rPr>
                  </w:pPr>
                  <w:r>
                    <w:rPr>
                      <w:bCs/>
                      <w:color w:val="auto"/>
                      <w:sz w:val="18"/>
                      <w:szCs w:val="18"/>
                    </w:rPr>
                    <w:t>C</w:t>
                  </w:r>
                  <w:r>
                    <w:rPr>
                      <w:rFonts w:hint="eastAsia"/>
                      <w:bCs/>
                      <w:color w:val="auto"/>
                      <w:sz w:val="18"/>
                      <w:szCs w:val="18"/>
                    </w:rPr>
                    <w:t>型装配线</w:t>
                  </w:r>
                </w:p>
              </w:tc>
              <w:tc>
                <w:tcPr>
                  <w:tcW w:w="738" w:type="pct"/>
                  <w:tcBorders>
                    <w:tl2br w:val="nil"/>
                    <w:tr2bl w:val="nil"/>
                  </w:tcBorders>
                  <w:vAlign w:val="center"/>
                </w:tcPr>
                <w:p>
                  <w:pPr>
                    <w:jc w:val="center"/>
                    <w:rPr>
                      <w:rFonts w:hint="eastAsia" w:cs="Times New Roman"/>
                      <w:color w:val="auto"/>
                      <w:kern w:val="0"/>
                      <w:sz w:val="18"/>
                      <w:szCs w:val="18"/>
                      <w:lang w:val="en-US" w:eastAsia="zh-CN"/>
                    </w:rPr>
                  </w:pPr>
                  <w:r>
                    <w:rPr>
                      <w:bCs/>
                      <w:color w:val="auto"/>
                      <w:sz w:val="18"/>
                      <w:szCs w:val="18"/>
                    </w:rPr>
                    <w:t>1</w:t>
                  </w:r>
                </w:p>
              </w:tc>
              <w:tc>
                <w:tcPr>
                  <w:tcW w:w="739" w:type="pct"/>
                  <w:tcBorders>
                    <w:tl2br w:val="nil"/>
                    <w:tr2bl w:val="nil"/>
                  </w:tcBorders>
                  <w:vAlign w:val="center"/>
                </w:tcPr>
                <w:p>
                  <w:pPr>
                    <w:jc w:val="center"/>
                    <w:rPr>
                      <w:rFonts w:hint="eastAsia" w:cs="Times New Roman"/>
                      <w:color w:val="auto"/>
                      <w:kern w:val="0"/>
                      <w:sz w:val="18"/>
                      <w:szCs w:val="18"/>
                      <w:lang w:val="en-US" w:eastAsia="zh-CN"/>
                    </w:rPr>
                  </w:pPr>
                  <w:r>
                    <w:rPr>
                      <w:bCs/>
                      <w:color w:val="auto"/>
                      <w:sz w:val="18"/>
                      <w:szCs w:val="18"/>
                    </w:rPr>
                    <w:t>2</w:t>
                  </w:r>
                </w:p>
              </w:tc>
              <w:tc>
                <w:tcPr>
                  <w:tcW w:w="740" w:type="pct"/>
                  <w:tcBorders>
                    <w:tl2br w:val="nil"/>
                    <w:tr2bl w:val="nil"/>
                  </w:tcBorders>
                  <w:vAlign w:val="center"/>
                </w:tcPr>
                <w:p>
                  <w:pPr>
                    <w:jc w:val="center"/>
                    <w:rPr>
                      <w:rFonts w:hint="default" w:ascii="Times New Roman" w:hAnsi="Times New Roman" w:cs="Times New Roman"/>
                      <w:b w:val="0"/>
                      <w:bCs/>
                      <w:color w:val="auto"/>
                      <w:sz w:val="18"/>
                      <w:szCs w:val="18"/>
                      <w:lang w:val="en-US" w:eastAsia="zh-CN"/>
                    </w:rPr>
                  </w:pPr>
                  <w:r>
                    <w:rPr>
                      <w:rFonts w:hint="eastAsia" w:cs="Times New Roman"/>
                      <w:b w:val="0"/>
                      <w:bCs/>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eastAsia" w:ascii="Times New Roman" w:hAnsi="Times New Roman" w:cs="Times New Roman"/>
                      <w:color w:val="auto"/>
                      <w:sz w:val="18"/>
                      <w:szCs w:val="18"/>
                      <w:highlight w:val="none"/>
                      <w:lang w:val="en-US" w:eastAsia="zh-CN"/>
                    </w:rPr>
                  </w:pPr>
                  <w:r>
                    <w:rPr>
                      <w:rFonts w:hint="eastAsia" w:ascii="Arial" w:hAnsi="Arial" w:cs="Arial"/>
                      <w:bCs/>
                      <w:color w:val="auto"/>
                      <w:sz w:val="18"/>
                      <w:szCs w:val="18"/>
                    </w:rPr>
                    <w:t>移印装置</w:t>
                  </w:r>
                </w:p>
              </w:tc>
              <w:tc>
                <w:tcPr>
                  <w:tcW w:w="1105" w:type="pct"/>
                  <w:tcBorders>
                    <w:tl2br w:val="nil"/>
                    <w:tr2bl w:val="nil"/>
                  </w:tcBorders>
                  <w:vAlign w:val="center"/>
                </w:tcPr>
                <w:p>
                  <w:pPr>
                    <w:jc w:val="center"/>
                    <w:rPr>
                      <w:rFonts w:hint="eastAsia" w:ascii="Times New Roman" w:hAnsi="Times New Roman" w:cs="Times New Roman"/>
                      <w:color w:val="auto"/>
                      <w:sz w:val="18"/>
                      <w:szCs w:val="18"/>
                      <w:highlight w:val="none"/>
                      <w:lang w:val="en-US" w:eastAsia="zh-CN"/>
                    </w:rPr>
                  </w:pPr>
                  <w:r>
                    <w:rPr>
                      <w:bCs/>
                      <w:color w:val="auto"/>
                      <w:sz w:val="18"/>
                      <w:szCs w:val="18"/>
                    </w:rPr>
                    <w:t>KIPP-90</w:t>
                  </w:r>
                </w:p>
              </w:tc>
              <w:tc>
                <w:tcPr>
                  <w:tcW w:w="738" w:type="pct"/>
                  <w:tcBorders>
                    <w:tl2br w:val="nil"/>
                    <w:tr2bl w:val="nil"/>
                  </w:tcBorders>
                  <w:vAlign w:val="center"/>
                </w:tcPr>
                <w:p>
                  <w:pPr>
                    <w:jc w:val="center"/>
                    <w:rPr>
                      <w:rFonts w:hint="eastAsia" w:cs="Times New Roman"/>
                      <w:color w:val="auto"/>
                      <w:kern w:val="0"/>
                      <w:sz w:val="18"/>
                      <w:szCs w:val="18"/>
                      <w:lang w:val="en-US" w:eastAsia="zh-CN"/>
                    </w:rPr>
                  </w:pPr>
                  <w:r>
                    <w:rPr>
                      <w:bCs/>
                      <w:color w:val="auto"/>
                      <w:sz w:val="18"/>
                      <w:szCs w:val="18"/>
                    </w:rPr>
                    <w:t>3</w:t>
                  </w:r>
                </w:p>
              </w:tc>
              <w:tc>
                <w:tcPr>
                  <w:tcW w:w="739" w:type="pct"/>
                  <w:tcBorders>
                    <w:tl2br w:val="nil"/>
                    <w:tr2bl w:val="nil"/>
                  </w:tcBorders>
                  <w:vAlign w:val="center"/>
                </w:tcPr>
                <w:p>
                  <w:pPr>
                    <w:jc w:val="center"/>
                    <w:rPr>
                      <w:rFonts w:hint="eastAsia" w:cs="Times New Roman"/>
                      <w:color w:val="auto"/>
                      <w:kern w:val="0"/>
                      <w:sz w:val="18"/>
                      <w:szCs w:val="18"/>
                      <w:lang w:val="en-US" w:eastAsia="zh-CN"/>
                    </w:rPr>
                  </w:pPr>
                  <w:r>
                    <w:rPr>
                      <w:bCs/>
                      <w:color w:val="auto"/>
                      <w:sz w:val="18"/>
                      <w:szCs w:val="18"/>
                    </w:rPr>
                    <w:t>3</w:t>
                  </w:r>
                </w:p>
              </w:tc>
              <w:tc>
                <w:tcPr>
                  <w:tcW w:w="740" w:type="pct"/>
                  <w:tcBorders>
                    <w:tl2br w:val="nil"/>
                    <w:tr2bl w:val="nil"/>
                  </w:tcBorders>
                  <w:vAlign w:val="center"/>
                </w:tcPr>
                <w:p>
                  <w:pPr>
                    <w:jc w:val="center"/>
                    <w:rPr>
                      <w:rFonts w:hint="default" w:ascii="Times New Roman" w:hAnsi="Times New Roman"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Arial" w:hAnsi="Arial" w:eastAsia="宋体" w:cs="Arial"/>
                      <w:bCs/>
                      <w:color w:val="auto"/>
                      <w:sz w:val="18"/>
                      <w:szCs w:val="18"/>
                      <w:lang w:val="en-US" w:eastAsia="zh-CN"/>
                    </w:rPr>
                  </w:pPr>
                  <w:r>
                    <w:rPr>
                      <w:rFonts w:hint="eastAsia" w:ascii="Arial" w:hAnsi="Arial" w:cs="Arial"/>
                      <w:bCs/>
                      <w:color w:val="auto"/>
                      <w:sz w:val="18"/>
                      <w:szCs w:val="18"/>
                      <w:lang w:val="en-US" w:eastAsia="zh-CN"/>
                    </w:rPr>
                    <w:t>超声波焊接机</w:t>
                  </w:r>
                </w:p>
              </w:tc>
              <w:tc>
                <w:tcPr>
                  <w:tcW w:w="1105"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738"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739"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restar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测试设备</w:t>
                  </w:r>
                </w:p>
              </w:tc>
              <w:tc>
                <w:tcPr>
                  <w:tcW w:w="1091" w:type="pct"/>
                  <w:tcBorders>
                    <w:tl2br w:val="nil"/>
                    <w:tr2bl w:val="nil"/>
                  </w:tcBorders>
                  <w:vAlign w:val="center"/>
                </w:tcPr>
                <w:p>
                  <w:pPr>
                    <w:jc w:val="center"/>
                    <w:rPr>
                      <w:rFonts w:hint="eastAsia" w:ascii="Arial" w:hAnsi="Arial" w:eastAsia="宋体" w:cs="Arial"/>
                      <w:bCs/>
                      <w:color w:val="auto"/>
                      <w:sz w:val="18"/>
                      <w:szCs w:val="18"/>
                      <w:lang w:val="en-US" w:eastAsia="zh-CN"/>
                    </w:rPr>
                  </w:pPr>
                  <w:r>
                    <w:rPr>
                      <w:rFonts w:hint="eastAsia" w:ascii="Arial" w:hAnsi="Arial" w:cs="Arial"/>
                      <w:bCs/>
                      <w:color w:val="auto"/>
                      <w:sz w:val="18"/>
                      <w:szCs w:val="18"/>
                      <w:lang w:val="en-US" w:eastAsia="zh-CN"/>
                    </w:rPr>
                    <w:t>拉力测试机</w:t>
                  </w:r>
                </w:p>
              </w:tc>
              <w:tc>
                <w:tcPr>
                  <w:tcW w:w="1105"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738"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739"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eastAsia" w:cs="Times New Roman"/>
                      <w:sz w:val="18"/>
                      <w:szCs w:val="18"/>
                      <w:lang w:val="en-US" w:eastAsia="zh-CN"/>
                    </w:rPr>
                  </w:pPr>
                </w:p>
              </w:tc>
              <w:tc>
                <w:tcPr>
                  <w:tcW w:w="1091" w:type="pct"/>
                  <w:tcBorders>
                    <w:tl2br w:val="nil"/>
                    <w:tr2bl w:val="nil"/>
                  </w:tcBorders>
                  <w:vAlign w:val="center"/>
                </w:tcPr>
                <w:p>
                  <w:pPr>
                    <w:jc w:val="center"/>
                    <w:rPr>
                      <w:rFonts w:hint="default" w:ascii="Arial" w:hAnsi="Arial" w:cs="Arial"/>
                      <w:bCs/>
                      <w:color w:val="auto"/>
                      <w:sz w:val="18"/>
                      <w:szCs w:val="18"/>
                      <w:lang w:val="en-US" w:eastAsia="zh-CN"/>
                    </w:rPr>
                  </w:pPr>
                  <w:r>
                    <w:rPr>
                      <w:rFonts w:hint="eastAsia" w:ascii="Arial" w:hAnsi="Arial" w:cs="Arial"/>
                      <w:bCs/>
                      <w:color w:val="auto"/>
                      <w:sz w:val="18"/>
                      <w:szCs w:val="18"/>
                      <w:lang w:val="en-US" w:eastAsia="zh-CN"/>
                    </w:rPr>
                    <w:t>熔融指数试验机</w:t>
                  </w:r>
                </w:p>
              </w:tc>
              <w:tc>
                <w:tcPr>
                  <w:tcW w:w="110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QD-9213</w:t>
                  </w:r>
                </w:p>
              </w:tc>
              <w:tc>
                <w:tcPr>
                  <w:tcW w:w="738"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1</w:t>
                  </w:r>
                </w:p>
              </w:tc>
              <w:tc>
                <w:tcPr>
                  <w:tcW w:w="73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1</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eastAsia" w:cs="Times New Roman"/>
                      <w:sz w:val="18"/>
                      <w:szCs w:val="18"/>
                      <w:lang w:val="en-US" w:eastAsia="zh-CN"/>
                    </w:rPr>
                  </w:pPr>
                </w:p>
              </w:tc>
              <w:tc>
                <w:tcPr>
                  <w:tcW w:w="1091" w:type="pct"/>
                  <w:tcBorders>
                    <w:tl2br w:val="nil"/>
                    <w:tr2bl w:val="nil"/>
                  </w:tcBorders>
                  <w:vAlign w:val="center"/>
                </w:tcPr>
                <w:p>
                  <w:pPr>
                    <w:jc w:val="center"/>
                    <w:rPr>
                      <w:rFonts w:hint="default" w:ascii="Arial" w:hAnsi="Arial" w:cs="Arial"/>
                      <w:bCs/>
                      <w:color w:val="auto"/>
                      <w:sz w:val="18"/>
                      <w:szCs w:val="18"/>
                      <w:lang w:val="en-US" w:eastAsia="zh-CN"/>
                    </w:rPr>
                  </w:pPr>
                  <w:r>
                    <w:rPr>
                      <w:rFonts w:hint="eastAsia" w:ascii="Arial" w:hAnsi="Arial" w:cs="Arial"/>
                      <w:bCs/>
                      <w:color w:val="auto"/>
                      <w:sz w:val="18"/>
                      <w:szCs w:val="18"/>
                      <w:lang w:val="en-US" w:eastAsia="zh-CN"/>
                    </w:rPr>
                    <w:t>二点五次元影像仪</w:t>
                  </w:r>
                </w:p>
              </w:tc>
              <w:tc>
                <w:tcPr>
                  <w:tcW w:w="110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w:t>
                  </w:r>
                </w:p>
              </w:tc>
              <w:tc>
                <w:tcPr>
                  <w:tcW w:w="738"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2</w:t>
                  </w:r>
                </w:p>
              </w:tc>
              <w:tc>
                <w:tcPr>
                  <w:tcW w:w="73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2</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eastAsia" w:cs="Times New Roman"/>
                      <w:sz w:val="18"/>
                      <w:szCs w:val="18"/>
                      <w:lang w:val="en-US" w:eastAsia="zh-CN"/>
                    </w:rPr>
                  </w:pPr>
                </w:p>
              </w:tc>
              <w:tc>
                <w:tcPr>
                  <w:tcW w:w="1091" w:type="pct"/>
                  <w:tcBorders>
                    <w:tl2br w:val="nil"/>
                    <w:tr2bl w:val="nil"/>
                  </w:tcBorders>
                  <w:vAlign w:val="center"/>
                </w:tcPr>
                <w:p>
                  <w:pPr>
                    <w:jc w:val="center"/>
                    <w:rPr>
                      <w:rFonts w:hint="default" w:ascii="Arial" w:hAnsi="Arial" w:cs="Arial"/>
                      <w:bCs/>
                      <w:color w:val="auto"/>
                      <w:sz w:val="18"/>
                      <w:szCs w:val="18"/>
                      <w:lang w:val="en-US" w:eastAsia="zh-CN"/>
                    </w:rPr>
                  </w:pPr>
                  <w:r>
                    <w:rPr>
                      <w:rFonts w:hint="eastAsia" w:ascii="Arial" w:hAnsi="Arial" w:cs="Arial"/>
                      <w:bCs/>
                      <w:color w:val="auto"/>
                      <w:sz w:val="18"/>
                      <w:szCs w:val="18"/>
                      <w:lang w:val="en-US" w:eastAsia="zh-CN"/>
                    </w:rPr>
                    <w:t>三次元影像仪</w:t>
                  </w:r>
                </w:p>
              </w:tc>
              <w:tc>
                <w:tcPr>
                  <w:tcW w:w="110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w:t>
                  </w:r>
                </w:p>
              </w:tc>
              <w:tc>
                <w:tcPr>
                  <w:tcW w:w="738"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1</w:t>
                  </w:r>
                </w:p>
              </w:tc>
              <w:tc>
                <w:tcPr>
                  <w:tcW w:w="73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1</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eastAsia" w:cs="Times New Roman"/>
                      <w:sz w:val="18"/>
                      <w:szCs w:val="18"/>
                      <w:lang w:val="en-US" w:eastAsia="zh-CN"/>
                    </w:rPr>
                  </w:pPr>
                </w:p>
              </w:tc>
              <w:tc>
                <w:tcPr>
                  <w:tcW w:w="1091" w:type="pct"/>
                  <w:tcBorders>
                    <w:tl2br w:val="nil"/>
                    <w:tr2bl w:val="nil"/>
                  </w:tcBorders>
                  <w:vAlign w:val="center"/>
                </w:tcPr>
                <w:p>
                  <w:pPr>
                    <w:jc w:val="center"/>
                    <w:rPr>
                      <w:rFonts w:hint="default" w:ascii="Arial" w:hAnsi="Arial" w:cs="Arial"/>
                      <w:bCs/>
                      <w:color w:val="auto"/>
                      <w:sz w:val="18"/>
                      <w:szCs w:val="18"/>
                      <w:lang w:val="en-US" w:eastAsia="zh-CN"/>
                    </w:rPr>
                  </w:pPr>
                  <w:r>
                    <w:rPr>
                      <w:rFonts w:hint="eastAsia" w:ascii="Arial" w:hAnsi="Arial" w:cs="Arial"/>
                      <w:bCs/>
                      <w:color w:val="auto"/>
                      <w:sz w:val="18"/>
                      <w:szCs w:val="18"/>
                      <w:lang w:val="en-US" w:eastAsia="zh-CN"/>
                    </w:rPr>
                    <w:t>高度仪</w:t>
                  </w:r>
                </w:p>
              </w:tc>
              <w:tc>
                <w:tcPr>
                  <w:tcW w:w="110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w:t>
                  </w:r>
                </w:p>
              </w:tc>
              <w:tc>
                <w:tcPr>
                  <w:tcW w:w="738"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2</w:t>
                  </w:r>
                </w:p>
              </w:tc>
              <w:tc>
                <w:tcPr>
                  <w:tcW w:w="73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2</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eastAsia" w:cs="Times New Roman"/>
                      <w:sz w:val="18"/>
                      <w:szCs w:val="18"/>
                      <w:lang w:val="en-US" w:eastAsia="zh-CN"/>
                    </w:rPr>
                  </w:pPr>
                </w:p>
              </w:tc>
              <w:tc>
                <w:tcPr>
                  <w:tcW w:w="1091" w:type="pct"/>
                  <w:tcBorders>
                    <w:tl2br w:val="nil"/>
                    <w:tr2bl w:val="nil"/>
                  </w:tcBorders>
                  <w:vAlign w:val="center"/>
                </w:tcPr>
                <w:p>
                  <w:pPr>
                    <w:jc w:val="center"/>
                    <w:rPr>
                      <w:rFonts w:hint="default" w:ascii="Arial" w:hAnsi="Arial" w:cs="Arial"/>
                      <w:bCs/>
                      <w:color w:val="auto"/>
                      <w:sz w:val="18"/>
                      <w:szCs w:val="18"/>
                      <w:lang w:val="en-US" w:eastAsia="zh-CN"/>
                    </w:rPr>
                  </w:pPr>
                  <w:r>
                    <w:rPr>
                      <w:rFonts w:hint="eastAsia" w:ascii="Arial" w:hAnsi="Arial" w:cs="Arial"/>
                      <w:bCs/>
                      <w:color w:val="auto"/>
                      <w:sz w:val="18"/>
                      <w:szCs w:val="18"/>
                      <w:lang w:val="en-US" w:eastAsia="zh-CN"/>
                    </w:rPr>
                    <w:t>视觉检测机</w:t>
                  </w:r>
                </w:p>
              </w:tc>
              <w:tc>
                <w:tcPr>
                  <w:tcW w:w="110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CCD-#02</w:t>
                  </w:r>
                </w:p>
              </w:tc>
              <w:tc>
                <w:tcPr>
                  <w:tcW w:w="738"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1</w:t>
                  </w:r>
                </w:p>
              </w:tc>
              <w:tc>
                <w:tcPr>
                  <w:tcW w:w="73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1</w:t>
                  </w:r>
                </w:p>
              </w:tc>
              <w:tc>
                <w:tcPr>
                  <w:tcW w:w="740" w:type="pct"/>
                  <w:tcBorders>
                    <w:tl2br w:val="nil"/>
                    <w:tr2bl w:val="nil"/>
                  </w:tcBorders>
                  <w:vAlign w:val="center"/>
                </w:tcPr>
                <w:p>
                  <w:pPr>
                    <w:jc w:val="center"/>
                    <w:rPr>
                      <w:rFonts w:hint="default" w:cs="Times New Roman"/>
                      <w:b w:val="0"/>
                      <w:bCs/>
                      <w:color w:val="auto"/>
                      <w:sz w:val="18"/>
                      <w:szCs w:val="18"/>
                      <w:lang w:val="en-US" w:eastAsia="zh-CN"/>
                    </w:rPr>
                  </w:pPr>
                  <w:r>
                    <w:rPr>
                      <w:rFonts w:hint="eastAsia" w:cs="Times New Roman"/>
                      <w:b w:val="0"/>
                      <w:bCs/>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restar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eastAsia"/>
                      <w:bCs/>
                      <w:sz w:val="18"/>
                      <w:szCs w:val="18"/>
                    </w:rPr>
                    <w:t>辅助设备</w:t>
                  </w:r>
                </w:p>
              </w:tc>
              <w:tc>
                <w:tcPr>
                  <w:tcW w:w="1091"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bCs/>
                      <w:color w:val="auto"/>
                      <w:sz w:val="18"/>
                      <w:szCs w:val="18"/>
                    </w:rPr>
                    <w:t>冷却塔</w:t>
                  </w:r>
                </w:p>
              </w:tc>
              <w:tc>
                <w:tcPr>
                  <w:tcW w:w="1105" w:type="pct"/>
                  <w:tcBorders>
                    <w:tl2br w:val="nil"/>
                    <w:tr2bl w:val="nil"/>
                  </w:tcBorders>
                  <w:vAlign w:val="center"/>
                </w:tcPr>
                <w:p>
                  <w:pPr>
                    <w:jc w:val="center"/>
                    <w:rPr>
                      <w:rFonts w:hint="default" w:ascii="Times New Roman" w:hAnsi="Times New Roman" w:cs="Times New Roman"/>
                      <w:color w:val="auto"/>
                      <w:sz w:val="18"/>
                      <w:szCs w:val="18"/>
                    </w:rPr>
                  </w:pPr>
                  <w:r>
                    <w:rPr>
                      <w:rFonts w:hint="eastAsia"/>
                      <w:bCs/>
                      <w:color w:val="auto"/>
                      <w:sz w:val="18"/>
                      <w:szCs w:val="18"/>
                    </w:rPr>
                    <w:t>80-100M3/H</w:t>
                  </w:r>
                </w:p>
              </w:tc>
              <w:tc>
                <w:tcPr>
                  <w:tcW w:w="738" w:type="pct"/>
                  <w:tcBorders>
                    <w:tl2br w:val="nil"/>
                    <w:tr2bl w:val="nil"/>
                  </w:tcBorders>
                  <w:vAlign w:val="center"/>
                </w:tcPr>
                <w:p>
                  <w:pPr>
                    <w:jc w:val="center"/>
                    <w:rPr>
                      <w:rFonts w:hint="default" w:ascii="Times New Roman" w:hAnsi="Times New Roman" w:eastAsia="宋体" w:cs="Times New Roman"/>
                      <w:color w:val="auto"/>
                      <w:kern w:val="0"/>
                      <w:sz w:val="18"/>
                      <w:szCs w:val="18"/>
                      <w:lang w:val="en-US" w:eastAsia="zh-CN"/>
                    </w:rPr>
                  </w:pPr>
                  <w:r>
                    <w:rPr>
                      <w:bCs/>
                      <w:color w:val="auto"/>
                      <w:sz w:val="18"/>
                      <w:szCs w:val="18"/>
                    </w:rPr>
                    <w:t>2</w:t>
                  </w:r>
                </w:p>
              </w:tc>
              <w:tc>
                <w:tcPr>
                  <w:tcW w:w="739"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bCs/>
                      <w:color w:val="auto"/>
                      <w:sz w:val="18"/>
                      <w:szCs w:val="18"/>
                    </w:rPr>
                    <w:t>3</w:t>
                  </w:r>
                </w:p>
              </w:tc>
              <w:tc>
                <w:tcPr>
                  <w:tcW w:w="740"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b w:val="0"/>
                      <w:bCs/>
                      <w:color w:val="auto"/>
                      <w:sz w:val="18"/>
                      <w:szCs w:val="18"/>
                      <w:lang w:val="en-US" w:eastAsia="zh-CN"/>
                    </w:rPr>
                    <w:t>+</w:t>
                  </w:r>
                  <w:r>
                    <w:rPr>
                      <w:rFonts w:hint="eastAsia"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091" w:type="pct"/>
                  <w:tcBorders>
                    <w:tl2br w:val="nil"/>
                    <w:tr2bl w:val="nil"/>
                  </w:tcBorders>
                  <w:vAlign w:val="center"/>
                </w:tcPr>
                <w:p>
                  <w:pPr>
                    <w:jc w:val="center"/>
                    <w:rPr>
                      <w:rFonts w:hint="default" w:ascii="Times New Roman" w:hAnsi="Times New Roman" w:cs="Times New Roman"/>
                      <w:color w:val="auto"/>
                      <w:sz w:val="18"/>
                      <w:szCs w:val="18"/>
                      <w:highlight w:val="yellow"/>
                      <w:lang w:val="en-US" w:eastAsia="zh-CN"/>
                    </w:rPr>
                  </w:pPr>
                  <w:r>
                    <w:rPr>
                      <w:rFonts w:hint="eastAsia"/>
                      <w:bCs/>
                      <w:color w:val="auto"/>
                      <w:sz w:val="18"/>
                      <w:szCs w:val="18"/>
                    </w:rPr>
                    <w:t>空压机</w:t>
                  </w:r>
                </w:p>
              </w:tc>
              <w:tc>
                <w:tcPr>
                  <w:tcW w:w="1105" w:type="pct"/>
                  <w:tcBorders>
                    <w:tl2br w:val="nil"/>
                    <w:tr2bl w:val="nil"/>
                  </w:tcBorders>
                  <w:vAlign w:val="center"/>
                </w:tcPr>
                <w:p>
                  <w:pPr>
                    <w:jc w:val="center"/>
                    <w:rPr>
                      <w:rFonts w:hint="default" w:ascii="Times New Roman" w:hAnsi="Times New Roman" w:eastAsia="宋体" w:cs="Times New Roman"/>
                      <w:b/>
                      <w:color w:val="auto"/>
                      <w:kern w:val="2"/>
                      <w:sz w:val="18"/>
                      <w:szCs w:val="18"/>
                      <w:lang w:val="en-US" w:eastAsia="zh-CN" w:bidi="ar-SA"/>
                    </w:rPr>
                  </w:pPr>
                  <w:r>
                    <w:rPr>
                      <w:bCs/>
                      <w:color w:val="auto"/>
                      <w:sz w:val="18"/>
                      <w:szCs w:val="18"/>
                    </w:rPr>
                    <w:t>GA37FF</w:t>
                  </w:r>
                </w:p>
              </w:tc>
              <w:tc>
                <w:tcPr>
                  <w:tcW w:w="738" w:type="pct"/>
                  <w:tcBorders>
                    <w:tl2br w:val="nil"/>
                    <w:tr2bl w:val="nil"/>
                  </w:tcBorders>
                  <w:vAlign w:val="center"/>
                </w:tcPr>
                <w:p>
                  <w:pPr>
                    <w:jc w:val="center"/>
                    <w:rPr>
                      <w:rFonts w:hint="default" w:cs="Times New Roman"/>
                      <w:color w:val="auto"/>
                      <w:kern w:val="0"/>
                      <w:sz w:val="18"/>
                      <w:szCs w:val="18"/>
                      <w:lang w:val="en-US" w:eastAsia="zh-CN"/>
                    </w:rPr>
                  </w:pPr>
                  <w:r>
                    <w:rPr>
                      <w:bCs/>
                      <w:color w:val="auto"/>
                      <w:sz w:val="18"/>
                      <w:szCs w:val="18"/>
                    </w:rPr>
                    <w:t>2</w:t>
                  </w:r>
                </w:p>
              </w:tc>
              <w:tc>
                <w:tcPr>
                  <w:tcW w:w="739"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bCs/>
                      <w:color w:val="auto"/>
                      <w:sz w:val="18"/>
                      <w:szCs w:val="18"/>
                    </w:rPr>
                    <w:t>2</w:t>
                  </w:r>
                </w:p>
              </w:tc>
              <w:tc>
                <w:tcPr>
                  <w:tcW w:w="740" w:type="pct"/>
                  <w:tcBorders>
                    <w:tl2br w:val="nil"/>
                    <w:tr2bl w:val="nil"/>
                  </w:tcBorders>
                  <w:vAlign w:val="center"/>
                </w:tcPr>
                <w:p>
                  <w:pPr>
                    <w:jc w:val="center"/>
                    <w:rPr>
                      <w:rFonts w:hint="default" w:cs="Times New Roman"/>
                      <w:color w:val="auto"/>
                      <w:sz w:val="18"/>
                      <w:szCs w:val="18"/>
                      <w:lang w:val="en-US" w:eastAsia="zh-CN"/>
                    </w:rPr>
                  </w:pPr>
                  <w:r>
                    <w:rPr>
                      <w:rFonts w:hint="eastAsia" w:cs="Times New Roman"/>
                      <w:color w:val="auto"/>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jc w:val="center"/>
              </w:trPr>
              <w:tc>
                <w:tcPr>
                  <w:tcW w:w="584"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环保设备</w:t>
                  </w:r>
                </w:p>
              </w:tc>
              <w:tc>
                <w:tcPr>
                  <w:tcW w:w="1091" w:type="pct"/>
                  <w:tcBorders>
                    <w:tl2br w:val="nil"/>
                    <w:tr2bl w:val="nil"/>
                  </w:tcBorders>
                  <w:vAlign w:val="center"/>
                </w:tcPr>
                <w:p>
                  <w:pPr>
                    <w:jc w:val="center"/>
                    <w:rPr>
                      <w:rFonts w:hint="default" w:eastAsia="宋体"/>
                      <w:bCs/>
                      <w:color w:val="auto"/>
                      <w:sz w:val="18"/>
                      <w:szCs w:val="18"/>
                      <w:lang w:val="en-US" w:eastAsia="zh-CN"/>
                    </w:rPr>
                  </w:pPr>
                  <w:r>
                    <w:rPr>
                      <w:rFonts w:hint="eastAsia"/>
                      <w:bCs/>
                      <w:color w:val="auto"/>
                      <w:sz w:val="18"/>
                      <w:szCs w:val="18"/>
                      <w:lang w:val="en-US" w:eastAsia="zh-CN"/>
                    </w:rPr>
                    <w:t>两级活性炭设备</w:t>
                  </w:r>
                </w:p>
              </w:tc>
              <w:tc>
                <w:tcPr>
                  <w:tcW w:w="1105"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738"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739"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1</w:t>
                  </w:r>
                </w:p>
              </w:tc>
              <w:tc>
                <w:tcPr>
                  <w:tcW w:w="740" w:type="pct"/>
                  <w:tcBorders>
                    <w:tl2br w:val="nil"/>
                    <w:tr2bl w:val="nil"/>
                  </w:tcBorders>
                  <w:vAlign w:val="center"/>
                </w:tcPr>
                <w:p>
                  <w:pPr>
                    <w:jc w:val="center"/>
                    <w:rPr>
                      <w:bCs/>
                      <w:color w:val="auto"/>
                      <w:sz w:val="18"/>
                      <w:szCs w:val="18"/>
                    </w:rPr>
                  </w:pPr>
                  <w:r>
                    <w:rPr>
                      <w:rFonts w:hint="eastAsia" w:cs="Times New Roman"/>
                      <w:color w:val="auto"/>
                      <w:sz w:val="18"/>
                      <w:szCs w:val="18"/>
                      <w:lang w:val="en-US" w:eastAsia="zh-CN"/>
                    </w:rPr>
                    <w:t>0</w:t>
                  </w:r>
                </w:p>
              </w:tc>
            </w:tr>
          </w:tbl>
          <w:p>
            <w:pPr>
              <w:pStyle w:val="29"/>
              <w:snapToGrid w:val="0"/>
              <w:spacing w:beforeLines="50" w:line="300" w:lineRule="exact"/>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 xml:space="preserve"> 主要原辅材料</w:t>
            </w:r>
          </w:p>
          <w:tbl>
            <w:tblPr>
              <w:tblStyle w:val="1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089"/>
              <w:gridCol w:w="1560"/>
              <w:gridCol w:w="430"/>
              <w:gridCol w:w="807"/>
              <w:gridCol w:w="586"/>
              <w:gridCol w:w="735"/>
              <w:gridCol w:w="805"/>
              <w:gridCol w:w="727"/>
              <w:gridCol w:w="700"/>
              <w:gridCol w:w="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序号</w:t>
                  </w:r>
                </w:p>
              </w:tc>
              <w:tc>
                <w:tcPr>
                  <w:tcW w:w="656"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原料名称</w:t>
                  </w:r>
                </w:p>
              </w:tc>
              <w:tc>
                <w:tcPr>
                  <w:tcW w:w="940"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组分、规格</w:t>
                  </w:r>
                </w:p>
              </w:tc>
              <w:tc>
                <w:tcPr>
                  <w:tcW w:w="259"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状态</w:t>
                  </w:r>
                </w:p>
              </w:tc>
              <w:tc>
                <w:tcPr>
                  <w:tcW w:w="1282" w:type="pct"/>
                  <w:gridSpan w:val="3"/>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年用量（t/a）</w:t>
                  </w:r>
                </w:p>
              </w:tc>
              <w:tc>
                <w:tcPr>
                  <w:tcW w:w="485"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包装规格及存储方式</w:t>
                  </w:r>
                </w:p>
              </w:tc>
              <w:tc>
                <w:tcPr>
                  <w:tcW w:w="438"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贮存地点</w:t>
                  </w:r>
                </w:p>
              </w:tc>
              <w:tc>
                <w:tcPr>
                  <w:tcW w:w="422"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最大储存量t</w:t>
                  </w:r>
                </w:p>
              </w:tc>
              <w:tc>
                <w:tcPr>
                  <w:tcW w:w="259" w:type="pct"/>
                  <w:vMerge w:val="restart"/>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c>
                <w:tcPr>
                  <w:tcW w:w="656"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c>
                <w:tcPr>
                  <w:tcW w:w="940"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c>
                <w:tcPr>
                  <w:tcW w:w="259" w:type="pct"/>
                  <w:vMerge w:val="continue"/>
                  <w:tcBorders>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p>
              </w:tc>
              <w:tc>
                <w:tcPr>
                  <w:tcW w:w="486" w:type="pct"/>
                  <w:tcBorders>
                    <w:bottom w:val="single" w:color="auto" w:sz="4" w:space="0"/>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eastAsia" w:ascii="Times New Roman" w:hAnsi="Times New Roman" w:cs="Times New Roman"/>
                      <w:b/>
                      <w:bCs/>
                      <w:sz w:val="18"/>
                      <w:szCs w:val="18"/>
                      <w:lang w:val="en-US" w:eastAsia="zh-CN"/>
                    </w:rPr>
                    <w:t>技改</w:t>
                  </w:r>
                  <w:r>
                    <w:rPr>
                      <w:rFonts w:hint="default" w:cs="Times New Roman"/>
                      <w:b/>
                      <w:bCs/>
                      <w:color w:val="auto"/>
                      <w:sz w:val="18"/>
                      <w:szCs w:val="18"/>
                      <w:lang w:val="en-US" w:eastAsia="zh-CN"/>
                    </w:rPr>
                    <w:t>前</w:t>
                  </w:r>
                </w:p>
              </w:tc>
              <w:tc>
                <w:tcPr>
                  <w:tcW w:w="353" w:type="pct"/>
                  <w:tcBorders>
                    <w:bottom w:val="single" w:color="auto" w:sz="4" w:space="0"/>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eastAsia" w:ascii="Times New Roman" w:hAnsi="Times New Roman" w:cs="Times New Roman"/>
                      <w:b/>
                      <w:bCs/>
                      <w:sz w:val="18"/>
                      <w:szCs w:val="18"/>
                      <w:lang w:val="en-US" w:eastAsia="zh-CN"/>
                    </w:rPr>
                    <w:t>技改</w:t>
                  </w:r>
                  <w:r>
                    <w:rPr>
                      <w:rFonts w:hint="default" w:cs="Times New Roman"/>
                      <w:b/>
                      <w:bCs/>
                      <w:color w:val="auto"/>
                      <w:sz w:val="18"/>
                      <w:szCs w:val="18"/>
                      <w:lang w:val="en-US" w:eastAsia="zh-CN"/>
                    </w:rPr>
                    <w:t>项目</w:t>
                  </w:r>
                </w:p>
              </w:tc>
              <w:tc>
                <w:tcPr>
                  <w:tcW w:w="442" w:type="pct"/>
                  <w:tcBorders>
                    <w:bottom w:val="single" w:color="auto" w:sz="4" w:space="0"/>
                    <w:tl2br w:val="nil"/>
                    <w:tr2bl w:val="nil"/>
                  </w:tcBorders>
                  <w:vAlign w:val="center"/>
                </w:tcPr>
                <w:p>
                  <w:pPr>
                    <w:widowControl/>
                    <w:spacing w:line="240" w:lineRule="auto"/>
                    <w:jc w:val="center"/>
                    <w:textAlignment w:val="center"/>
                    <w:rPr>
                      <w:rFonts w:hint="default" w:cs="Times New Roman"/>
                      <w:b/>
                      <w:bCs/>
                      <w:color w:val="auto"/>
                      <w:sz w:val="18"/>
                      <w:szCs w:val="18"/>
                      <w:lang w:val="en-US" w:eastAsia="zh-CN"/>
                    </w:rPr>
                  </w:pPr>
                  <w:r>
                    <w:rPr>
                      <w:rFonts w:hint="eastAsia" w:ascii="Times New Roman" w:hAnsi="Times New Roman" w:cs="Times New Roman"/>
                      <w:b/>
                      <w:bCs/>
                      <w:sz w:val="18"/>
                      <w:szCs w:val="18"/>
                      <w:lang w:val="en-US" w:eastAsia="zh-CN"/>
                    </w:rPr>
                    <w:t>技改</w:t>
                  </w:r>
                  <w:r>
                    <w:rPr>
                      <w:rFonts w:hint="default" w:cs="Times New Roman"/>
                      <w:b/>
                      <w:bCs/>
                      <w:color w:val="auto"/>
                      <w:sz w:val="18"/>
                      <w:szCs w:val="18"/>
                      <w:lang w:val="en-US" w:eastAsia="zh-CN"/>
                    </w:rPr>
                    <w:t>后</w:t>
                  </w:r>
                </w:p>
              </w:tc>
              <w:tc>
                <w:tcPr>
                  <w:tcW w:w="485"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c>
                <w:tcPr>
                  <w:tcW w:w="438"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c>
                <w:tcPr>
                  <w:tcW w:w="422"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1</w:t>
                  </w:r>
                </w:p>
              </w:tc>
              <w:tc>
                <w:tcPr>
                  <w:tcW w:w="656"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PP</w:t>
                  </w:r>
                </w:p>
              </w:tc>
              <w:tc>
                <w:tcPr>
                  <w:tcW w:w="940"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聚丙烯</w:t>
                  </w:r>
                </w:p>
              </w:tc>
              <w:tc>
                <w:tcPr>
                  <w:tcW w:w="25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固</w:t>
                  </w:r>
                </w:p>
              </w:tc>
              <w:tc>
                <w:tcPr>
                  <w:tcW w:w="486"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25</w:t>
                  </w:r>
                </w:p>
              </w:tc>
              <w:tc>
                <w:tcPr>
                  <w:tcW w:w="353"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30</w:t>
                  </w:r>
                </w:p>
              </w:tc>
              <w:tc>
                <w:tcPr>
                  <w:tcW w:w="442"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55</w:t>
                  </w:r>
                </w:p>
              </w:tc>
              <w:tc>
                <w:tcPr>
                  <w:tcW w:w="48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25</w:t>
                  </w:r>
                  <w:r>
                    <w:rPr>
                      <w:rFonts w:hint="eastAsia"/>
                      <w:bCs/>
                      <w:color w:val="auto"/>
                      <w:sz w:val="18"/>
                      <w:szCs w:val="18"/>
                      <w:lang w:val="en-US" w:eastAsia="zh-CN"/>
                    </w:rPr>
                    <w:t>k</w:t>
                  </w:r>
                  <w:r>
                    <w:rPr>
                      <w:rFonts w:hint="eastAsia"/>
                      <w:bCs/>
                      <w:color w:val="auto"/>
                      <w:sz w:val="18"/>
                      <w:szCs w:val="18"/>
                    </w:rPr>
                    <w:t>g/包</w:t>
                  </w:r>
                </w:p>
              </w:tc>
              <w:tc>
                <w:tcPr>
                  <w:tcW w:w="438" w:type="pct"/>
                  <w:tcBorders>
                    <w:tl2br w:val="nil"/>
                    <w:tr2bl w:val="nil"/>
                  </w:tcBorders>
                  <w:vAlign w:val="center"/>
                </w:tcPr>
                <w:p>
                  <w:pPr>
                    <w:jc w:val="center"/>
                    <w:rPr>
                      <w:rFonts w:hint="default"/>
                      <w:bCs/>
                      <w:color w:val="auto"/>
                      <w:sz w:val="18"/>
                      <w:szCs w:val="18"/>
                      <w:lang w:val="en-US" w:eastAsia="zh-CN"/>
                    </w:rPr>
                  </w:pPr>
                  <w:r>
                    <w:rPr>
                      <w:rFonts w:hint="default"/>
                      <w:bCs/>
                      <w:color w:val="auto"/>
                      <w:sz w:val="18"/>
                      <w:szCs w:val="18"/>
                    </w:rPr>
                    <w:t>原料暂存区</w:t>
                  </w:r>
                </w:p>
              </w:tc>
              <w:tc>
                <w:tcPr>
                  <w:tcW w:w="422"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5</w:t>
                  </w:r>
                </w:p>
              </w:tc>
              <w:tc>
                <w:tcPr>
                  <w:tcW w:w="259" w:type="pct"/>
                  <w:vMerge w:val="restar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2</w:t>
                  </w:r>
                </w:p>
              </w:tc>
              <w:tc>
                <w:tcPr>
                  <w:tcW w:w="656"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PE</w:t>
                  </w:r>
                </w:p>
              </w:tc>
              <w:tc>
                <w:tcPr>
                  <w:tcW w:w="940"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聚乙烯</w:t>
                  </w:r>
                </w:p>
              </w:tc>
              <w:tc>
                <w:tcPr>
                  <w:tcW w:w="25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固</w:t>
                  </w:r>
                </w:p>
              </w:tc>
              <w:tc>
                <w:tcPr>
                  <w:tcW w:w="486"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0</w:t>
                  </w:r>
                </w:p>
              </w:tc>
              <w:tc>
                <w:tcPr>
                  <w:tcW w:w="353"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5</w:t>
                  </w:r>
                </w:p>
              </w:tc>
              <w:tc>
                <w:tcPr>
                  <w:tcW w:w="442"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5</w:t>
                  </w:r>
                </w:p>
              </w:tc>
              <w:tc>
                <w:tcPr>
                  <w:tcW w:w="48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25</w:t>
                  </w:r>
                  <w:r>
                    <w:rPr>
                      <w:rFonts w:hint="eastAsia"/>
                      <w:bCs/>
                      <w:color w:val="auto"/>
                      <w:sz w:val="18"/>
                      <w:szCs w:val="18"/>
                      <w:lang w:val="en-US" w:eastAsia="zh-CN"/>
                    </w:rPr>
                    <w:t>k</w:t>
                  </w:r>
                  <w:r>
                    <w:rPr>
                      <w:rFonts w:hint="eastAsia"/>
                      <w:bCs/>
                      <w:color w:val="auto"/>
                      <w:sz w:val="18"/>
                      <w:szCs w:val="18"/>
                    </w:rPr>
                    <w:t>g/包</w:t>
                  </w:r>
                </w:p>
              </w:tc>
              <w:tc>
                <w:tcPr>
                  <w:tcW w:w="438" w:type="pct"/>
                  <w:tcBorders>
                    <w:tl2br w:val="nil"/>
                    <w:tr2bl w:val="nil"/>
                  </w:tcBorders>
                  <w:vAlign w:val="center"/>
                </w:tcPr>
                <w:p>
                  <w:pPr>
                    <w:jc w:val="center"/>
                    <w:rPr>
                      <w:rFonts w:hint="default"/>
                      <w:bCs/>
                      <w:color w:val="auto"/>
                      <w:sz w:val="18"/>
                      <w:szCs w:val="18"/>
                      <w:lang w:val="en-US" w:eastAsia="zh-CN"/>
                    </w:rPr>
                  </w:pPr>
                  <w:r>
                    <w:rPr>
                      <w:rFonts w:hint="default"/>
                      <w:bCs/>
                      <w:color w:val="auto"/>
                      <w:sz w:val="18"/>
                      <w:szCs w:val="18"/>
                    </w:rPr>
                    <w:t>原料暂存区</w:t>
                  </w:r>
                </w:p>
              </w:tc>
              <w:tc>
                <w:tcPr>
                  <w:tcW w:w="422"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1</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3</w:t>
                  </w:r>
                </w:p>
              </w:tc>
              <w:tc>
                <w:tcPr>
                  <w:tcW w:w="656"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PA6+G 尼龙加纤</w:t>
                  </w:r>
                </w:p>
              </w:tc>
              <w:tc>
                <w:tcPr>
                  <w:tcW w:w="940" w:type="pct"/>
                  <w:tcBorders>
                    <w:tl2br w:val="nil"/>
                    <w:tr2bl w:val="nil"/>
                  </w:tcBorders>
                  <w:vAlign w:val="center"/>
                </w:tcPr>
                <w:p>
                  <w:pPr>
                    <w:jc w:val="center"/>
                    <w:rPr>
                      <w:rFonts w:hint="default"/>
                      <w:bCs/>
                      <w:color w:val="auto"/>
                      <w:sz w:val="18"/>
                      <w:szCs w:val="18"/>
                      <w:lang w:val="en-US" w:eastAsia="zh-CN"/>
                    </w:rPr>
                  </w:pPr>
                  <w:r>
                    <w:rPr>
                      <w:rFonts w:hint="default" w:ascii="Times New Roman" w:hAnsi="Times New Roman" w:eastAsia="宋体" w:cs="Times New Roman"/>
                      <w:i w:val="0"/>
                      <w:caps w:val="0"/>
                      <w:color w:val="auto"/>
                      <w:spacing w:val="0"/>
                      <w:sz w:val="18"/>
                      <w:szCs w:val="18"/>
                      <w:highlight w:val="none"/>
                      <w:shd w:val="clear" w:color="auto" w:fill="FFFFFF"/>
                      <w:vertAlign w:val="baseline"/>
                      <w:lang w:val="en-US" w:eastAsia="zh-CN"/>
                    </w:rPr>
                    <w:t>聚酰胺</w:t>
                  </w:r>
                  <w:r>
                    <w:rPr>
                      <w:bCs/>
                      <w:sz w:val="18"/>
                      <w:szCs w:val="18"/>
                    </w:rPr>
                    <w:t>67</w:t>
                  </w:r>
                  <w:r>
                    <w:rPr>
                      <w:rFonts w:hint="eastAsia"/>
                      <w:bCs/>
                      <w:sz w:val="18"/>
                      <w:szCs w:val="18"/>
                    </w:rPr>
                    <w:t>%，纤3</w:t>
                  </w:r>
                  <w:r>
                    <w:rPr>
                      <w:bCs/>
                      <w:sz w:val="18"/>
                      <w:szCs w:val="18"/>
                    </w:rPr>
                    <w:t>3</w:t>
                  </w:r>
                  <w:r>
                    <w:rPr>
                      <w:rFonts w:hint="eastAsia"/>
                      <w:bCs/>
                      <w:sz w:val="18"/>
                      <w:szCs w:val="18"/>
                    </w:rPr>
                    <w:t>%</w:t>
                  </w:r>
                </w:p>
              </w:tc>
              <w:tc>
                <w:tcPr>
                  <w:tcW w:w="25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固</w:t>
                  </w:r>
                </w:p>
              </w:tc>
              <w:tc>
                <w:tcPr>
                  <w:tcW w:w="486"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80</w:t>
                  </w:r>
                </w:p>
              </w:tc>
              <w:tc>
                <w:tcPr>
                  <w:tcW w:w="353"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0</w:t>
                  </w:r>
                </w:p>
              </w:tc>
              <w:tc>
                <w:tcPr>
                  <w:tcW w:w="442"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80</w:t>
                  </w:r>
                </w:p>
              </w:tc>
              <w:tc>
                <w:tcPr>
                  <w:tcW w:w="485"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25</w:t>
                  </w:r>
                  <w:r>
                    <w:rPr>
                      <w:rFonts w:hint="eastAsia"/>
                      <w:bCs/>
                      <w:color w:val="auto"/>
                      <w:sz w:val="18"/>
                      <w:szCs w:val="18"/>
                      <w:lang w:val="en-US" w:eastAsia="zh-CN"/>
                    </w:rPr>
                    <w:t>k</w:t>
                  </w:r>
                  <w:r>
                    <w:rPr>
                      <w:rFonts w:hint="eastAsia"/>
                      <w:bCs/>
                      <w:color w:val="auto"/>
                      <w:sz w:val="18"/>
                      <w:szCs w:val="18"/>
                    </w:rPr>
                    <w:t>g/包</w:t>
                  </w:r>
                </w:p>
              </w:tc>
              <w:tc>
                <w:tcPr>
                  <w:tcW w:w="438" w:type="pct"/>
                  <w:tcBorders>
                    <w:tl2br w:val="nil"/>
                    <w:tr2bl w:val="nil"/>
                  </w:tcBorders>
                  <w:vAlign w:val="center"/>
                </w:tcPr>
                <w:p>
                  <w:pPr>
                    <w:jc w:val="center"/>
                    <w:rPr>
                      <w:rFonts w:hint="default"/>
                      <w:bCs/>
                      <w:color w:val="auto"/>
                      <w:sz w:val="18"/>
                      <w:szCs w:val="18"/>
                      <w:lang w:val="en-US" w:eastAsia="zh-CN"/>
                    </w:rPr>
                  </w:pPr>
                  <w:r>
                    <w:rPr>
                      <w:rFonts w:hint="default"/>
                      <w:bCs/>
                      <w:color w:val="auto"/>
                      <w:sz w:val="18"/>
                      <w:szCs w:val="18"/>
                    </w:rPr>
                    <w:t>原料暂存区</w:t>
                  </w:r>
                </w:p>
              </w:tc>
              <w:tc>
                <w:tcPr>
                  <w:tcW w:w="422"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rPr>
                    <w:t>5</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4</w:t>
                  </w:r>
                </w:p>
              </w:tc>
              <w:tc>
                <w:tcPr>
                  <w:tcW w:w="656" w:type="pct"/>
                  <w:tcBorders>
                    <w:tl2br w:val="nil"/>
                    <w:tr2bl w:val="nil"/>
                  </w:tcBorders>
                  <w:vAlign w:val="center"/>
                </w:tcPr>
                <w:p>
                  <w:pPr>
                    <w:jc w:val="center"/>
                    <w:rPr>
                      <w:rFonts w:hint="eastAsia" w:eastAsia="宋体"/>
                      <w:bCs/>
                      <w:color w:val="auto"/>
                      <w:sz w:val="18"/>
                      <w:szCs w:val="18"/>
                      <w:lang w:eastAsia="zh-CN"/>
                    </w:rPr>
                  </w:pPr>
                  <w:r>
                    <w:rPr>
                      <w:rFonts w:hint="eastAsia"/>
                      <w:bCs/>
                      <w:color w:val="auto"/>
                      <w:sz w:val="18"/>
                      <w:szCs w:val="18"/>
                    </w:rPr>
                    <w:t>P</w:t>
                  </w:r>
                  <w:r>
                    <w:rPr>
                      <w:rFonts w:hint="eastAsia"/>
                      <w:bCs/>
                      <w:color w:val="auto"/>
                      <w:sz w:val="18"/>
                      <w:szCs w:val="18"/>
                      <w:lang w:val="en-US" w:eastAsia="zh-CN"/>
                    </w:rPr>
                    <w:t>C+ABS</w:t>
                  </w:r>
                </w:p>
              </w:tc>
              <w:tc>
                <w:tcPr>
                  <w:tcW w:w="940" w:type="pct"/>
                  <w:tcBorders>
                    <w:tl2br w:val="nil"/>
                    <w:tr2bl w:val="nil"/>
                  </w:tcBorders>
                  <w:vAlign w:val="center"/>
                </w:tcPr>
                <w:p>
                  <w:pPr>
                    <w:jc w:val="center"/>
                    <w:rPr>
                      <w:rFonts w:hint="default" w:eastAsia="宋体"/>
                      <w:bCs/>
                      <w:sz w:val="18"/>
                      <w:szCs w:val="18"/>
                      <w:lang w:val="en-US" w:eastAsia="zh-CN"/>
                    </w:rPr>
                  </w:pPr>
                  <w:r>
                    <w:rPr>
                      <w:rFonts w:hint="eastAsia"/>
                      <w:bCs/>
                      <w:sz w:val="18"/>
                      <w:szCs w:val="18"/>
                    </w:rPr>
                    <w:t>聚碳酸酯</w:t>
                  </w:r>
                  <w:r>
                    <w:rPr>
                      <w:rFonts w:hint="eastAsia"/>
                      <w:bCs/>
                      <w:sz w:val="18"/>
                      <w:szCs w:val="18"/>
                      <w:lang w:val="en-US" w:eastAsia="zh-CN"/>
                    </w:rPr>
                    <w:t>50%</w:t>
                  </w:r>
                  <w:r>
                    <w:rPr>
                      <w:rFonts w:hint="eastAsia"/>
                      <w:bCs/>
                      <w:sz w:val="18"/>
                      <w:szCs w:val="18"/>
                      <w:lang w:eastAsia="zh-CN"/>
                    </w:rPr>
                    <w:t>，</w:t>
                  </w:r>
                  <w:r>
                    <w:rPr>
                      <w:rFonts w:hint="eastAsia"/>
                      <w:bCs/>
                      <w:sz w:val="18"/>
                      <w:szCs w:val="18"/>
                      <w:highlight w:val="none"/>
                    </w:rPr>
                    <w:t>丙烯腈-丁二烯-苯乙烯共聚物</w:t>
                  </w:r>
                  <w:r>
                    <w:rPr>
                      <w:rFonts w:hint="eastAsia"/>
                      <w:bCs/>
                      <w:sz w:val="18"/>
                      <w:szCs w:val="18"/>
                      <w:highlight w:val="none"/>
                      <w:lang w:val="en-US" w:eastAsia="zh-CN"/>
                    </w:rPr>
                    <w:t>50%</w:t>
                  </w:r>
                </w:p>
              </w:tc>
              <w:tc>
                <w:tcPr>
                  <w:tcW w:w="259" w:type="pct"/>
                  <w:tcBorders>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固</w:t>
                  </w:r>
                </w:p>
              </w:tc>
              <w:tc>
                <w:tcPr>
                  <w:tcW w:w="486"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60</w:t>
                  </w:r>
                </w:p>
              </w:tc>
              <w:tc>
                <w:tcPr>
                  <w:tcW w:w="353"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0</w:t>
                  </w:r>
                </w:p>
              </w:tc>
              <w:tc>
                <w:tcPr>
                  <w:tcW w:w="442" w:type="pct"/>
                  <w:tcBorders>
                    <w:top w:val="single" w:color="auto" w:sz="4" w:space="0"/>
                    <w:tl2br w:val="nil"/>
                    <w:tr2bl w:val="nil"/>
                  </w:tcBorders>
                  <w:vAlign w:val="center"/>
                </w:tcPr>
                <w:p>
                  <w:pPr>
                    <w:jc w:val="center"/>
                    <w:rPr>
                      <w:rFonts w:hint="default"/>
                      <w:bCs/>
                      <w:color w:val="auto"/>
                      <w:sz w:val="18"/>
                      <w:szCs w:val="18"/>
                      <w:lang w:val="en-US" w:eastAsia="zh-CN"/>
                    </w:rPr>
                  </w:pPr>
                  <w:r>
                    <w:rPr>
                      <w:rFonts w:hint="eastAsia"/>
                      <w:bCs/>
                      <w:color w:val="auto"/>
                      <w:sz w:val="18"/>
                      <w:szCs w:val="18"/>
                      <w:lang w:val="en-US" w:eastAsia="zh-CN"/>
                    </w:rPr>
                    <w:t>60</w:t>
                  </w:r>
                </w:p>
              </w:tc>
              <w:tc>
                <w:tcPr>
                  <w:tcW w:w="485" w:type="pct"/>
                  <w:tcBorders>
                    <w:tl2br w:val="nil"/>
                    <w:tr2bl w:val="nil"/>
                  </w:tcBorders>
                  <w:vAlign w:val="center"/>
                </w:tcPr>
                <w:p>
                  <w:pPr>
                    <w:jc w:val="center"/>
                    <w:rPr>
                      <w:rFonts w:hint="eastAsia"/>
                      <w:bCs/>
                      <w:color w:val="auto"/>
                      <w:sz w:val="18"/>
                      <w:szCs w:val="18"/>
                    </w:rPr>
                  </w:pPr>
                  <w:r>
                    <w:rPr>
                      <w:rFonts w:hint="eastAsia"/>
                      <w:bCs/>
                      <w:color w:val="auto"/>
                      <w:sz w:val="18"/>
                      <w:szCs w:val="18"/>
                    </w:rPr>
                    <w:t>25</w:t>
                  </w:r>
                  <w:r>
                    <w:rPr>
                      <w:rFonts w:hint="eastAsia"/>
                      <w:bCs/>
                      <w:color w:val="auto"/>
                      <w:sz w:val="18"/>
                      <w:szCs w:val="18"/>
                      <w:lang w:val="en-US" w:eastAsia="zh-CN"/>
                    </w:rPr>
                    <w:t>k</w:t>
                  </w:r>
                  <w:r>
                    <w:rPr>
                      <w:rFonts w:hint="eastAsia"/>
                      <w:bCs/>
                      <w:color w:val="auto"/>
                      <w:sz w:val="18"/>
                      <w:szCs w:val="18"/>
                    </w:rPr>
                    <w:t>g/包</w:t>
                  </w:r>
                </w:p>
              </w:tc>
              <w:tc>
                <w:tcPr>
                  <w:tcW w:w="438" w:type="pct"/>
                  <w:tcBorders>
                    <w:tl2br w:val="nil"/>
                    <w:tr2bl w:val="nil"/>
                  </w:tcBorders>
                  <w:vAlign w:val="center"/>
                </w:tcPr>
                <w:p>
                  <w:pPr>
                    <w:jc w:val="center"/>
                    <w:rPr>
                      <w:rFonts w:hint="default"/>
                      <w:bCs/>
                      <w:color w:val="auto"/>
                      <w:sz w:val="18"/>
                      <w:szCs w:val="18"/>
                    </w:rPr>
                  </w:pPr>
                  <w:r>
                    <w:rPr>
                      <w:rFonts w:hint="default"/>
                      <w:bCs/>
                      <w:color w:val="auto"/>
                      <w:sz w:val="18"/>
                      <w:szCs w:val="18"/>
                    </w:rPr>
                    <w:t>原料暂存区</w:t>
                  </w:r>
                </w:p>
              </w:tc>
              <w:tc>
                <w:tcPr>
                  <w:tcW w:w="422" w:type="pct"/>
                  <w:tcBorders>
                    <w:tl2br w:val="nil"/>
                    <w:tr2bl w:val="nil"/>
                  </w:tcBorders>
                  <w:vAlign w:val="center"/>
                </w:tcPr>
                <w:p>
                  <w:pPr>
                    <w:jc w:val="center"/>
                    <w:rPr>
                      <w:rFonts w:hint="eastAsia" w:eastAsia="宋体"/>
                      <w:bCs/>
                      <w:color w:val="auto"/>
                      <w:sz w:val="18"/>
                      <w:szCs w:val="18"/>
                      <w:lang w:val="en-US" w:eastAsia="zh-CN"/>
                    </w:rPr>
                  </w:pPr>
                  <w:r>
                    <w:rPr>
                      <w:rFonts w:hint="eastAsia"/>
                      <w:bCs/>
                      <w:color w:val="auto"/>
                      <w:sz w:val="18"/>
                      <w:szCs w:val="18"/>
                      <w:lang w:val="en-US" w:eastAsia="zh-CN"/>
                    </w:rPr>
                    <w:t>5</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656" w:type="pct"/>
                  <w:tcBorders>
                    <w:tl2br w:val="nil"/>
                    <w:tr2bl w:val="nil"/>
                  </w:tcBorders>
                  <w:vAlign w:val="center"/>
                </w:tcPr>
                <w:p>
                  <w:pPr>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lang w:val="en-US" w:eastAsia="zh-CN"/>
                    </w:rPr>
                    <w:t>缠绕膜</w:t>
                  </w:r>
                </w:p>
              </w:tc>
              <w:tc>
                <w:tcPr>
                  <w:tcW w:w="940" w:type="pct"/>
                  <w:tcBorders>
                    <w:tl2br w:val="nil"/>
                    <w:tr2bl w:val="nil"/>
                  </w:tcBorders>
                  <w:vAlign w:val="center"/>
                </w:tcPr>
                <w:p>
                  <w:pPr>
                    <w:jc w:val="center"/>
                    <w:rPr>
                      <w:rFonts w:hint="eastAsia" w:ascii="Times New Roman" w:hAnsi="Times New Roman" w:eastAsia="宋体" w:cs="Times New Roman"/>
                      <w:bCs/>
                      <w:sz w:val="18"/>
                      <w:szCs w:val="18"/>
                      <w:lang w:val="en-US" w:eastAsia="zh-CN"/>
                    </w:rPr>
                  </w:pPr>
                  <w:r>
                    <w:rPr>
                      <w:rFonts w:hint="eastAsia" w:cs="Times New Roman"/>
                      <w:bCs/>
                      <w:sz w:val="18"/>
                      <w:szCs w:val="18"/>
                      <w:lang w:val="en-US" w:eastAsia="zh-CN"/>
                    </w:rPr>
                    <w:t>/</w:t>
                  </w:r>
                </w:p>
              </w:tc>
              <w:tc>
                <w:tcPr>
                  <w:tcW w:w="259" w:type="pct"/>
                  <w:tcBorders>
                    <w:tl2br w:val="nil"/>
                    <w:tr2bl w:val="nil"/>
                  </w:tcBorders>
                  <w:vAlign w:val="center"/>
                </w:tcPr>
                <w:p>
                  <w:pPr>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固</w:t>
                  </w:r>
                </w:p>
              </w:tc>
              <w:tc>
                <w:tcPr>
                  <w:tcW w:w="486" w:type="pct"/>
                  <w:tcBorders>
                    <w:top w:val="single" w:color="auto" w:sz="4" w:space="0"/>
                    <w:tl2br w:val="nil"/>
                    <w:tr2bl w:val="nil"/>
                  </w:tcBorders>
                  <w:vAlign w:val="center"/>
                </w:tcPr>
                <w:p>
                  <w:pPr>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1.1</w:t>
                  </w:r>
                </w:p>
              </w:tc>
              <w:tc>
                <w:tcPr>
                  <w:tcW w:w="353" w:type="pct"/>
                  <w:tcBorders>
                    <w:top w:val="single" w:color="auto" w:sz="4" w:space="0"/>
                    <w:tl2br w:val="nil"/>
                    <w:tr2bl w:val="nil"/>
                  </w:tcBorders>
                  <w:vAlign w:val="center"/>
                </w:tcPr>
                <w:p>
                  <w:pPr>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0.2</w:t>
                  </w:r>
                </w:p>
              </w:tc>
              <w:tc>
                <w:tcPr>
                  <w:tcW w:w="442" w:type="pct"/>
                  <w:tcBorders>
                    <w:top w:val="single" w:color="auto" w:sz="4" w:space="0"/>
                    <w:tl2br w:val="nil"/>
                    <w:tr2bl w:val="nil"/>
                  </w:tcBorders>
                  <w:vAlign w:val="center"/>
                </w:tcPr>
                <w:p>
                  <w:pPr>
                    <w:jc w:val="center"/>
                    <w:rPr>
                      <w:rFonts w:hint="default" w:ascii="Times New Roman" w:hAnsi="Times New Roman" w:eastAsia="宋体" w:cs="Times New Roman"/>
                      <w:bCs/>
                      <w:sz w:val="18"/>
                      <w:szCs w:val="18"/>
                      <w:lang w:val="en-US"/>
                    </w:rPr>
                  </w:pPr>
                  <w:r>
                    <w:rPr>
                      <w:rFonts w:hint="eastAsia" w:cs="Times New Roman"/>
                      <w:bCs/>
                      <w:sz w:val="18"/>
                      <w:szCs w:val="18"/>
                      <w:lang w:val="en-US" w:eastAsia="zh-CN"/>
                    </w:rPr>
                    <w:t>1.3</w:t>
                  </w:r>
                </w:p>
              </w:tc>
              <w:tc>
                <w:tcPr>
                  <w:tcW w:w="485" w:type="pct"/>
                  <w:tcBorders>
                    <w:tl2br w:val="nil"/>
                    <w:tr2bl w:val="nil"/>
                  </w:tcBorders>
                  <w:vAlign w:val="center"/>
                </w:tcPr>
                <w:p>
                  <w:pPr>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lang w:val="en-US" w:eastAsia="zh-CN"/>
                    </w:rPr>
                    <w:t>11</w:t>
                  </w:r>
                  <w:r>
                    <w:rPr>
                      <w:rFonts w:hint="eastAsia" w:cs="Times New Roman"/>
                      <w:bCs/>
                      <w:sz w:val="18"/>
                      <w:szCs w:val="18"/>
                      <w:lang w:val="en-US" w:eastAsia="zh-CN"/>
                    </w:rPr>
                    <w:t>kg</w:t>
                  </w:r>
                  <w:r>
                    <w:rPr>
                      <w:rFonts w:hint="eastAsia" w:ascii="Times New Roman" w:hAnsi="Times New Roman" w:eastAsia="宋体" w:cs="Times New Roman"/>
                      <w:bCs/>
                      <w:sz w:val="18"/>
                      <w:szCs w:val="18"/>
                      <w:lang w:val="en-US" w:eastAsia="zh-CN"/>
                    </w:rPr>
                    <w:t>/卷</w:t>
                  </w:r>
                </w:p>
              </w:tc>
              <w:tc>
                <w:tcPr>
                  <w:tcW w:w="438" w:type="pct"/>
                  <w:tcBorders>
                    <w:tl2br w:val="nil"/>
                    <w:tr2bl w:val="nil"/>
                  </w:tcBorders>
                  <w:vAlign w:val="center"/>
                </w:tcPr>
                <w:p>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原料暂存区</w:t>
                  </w:r>
                </w:p>
              </w:tc>
              <w:tc>
                <w:tcPr>
                  <w:tcW w:w="422" w:type="pct"/>
                  <w:tcBorders>
                    <w:tl2br w:val="nil"/>
                    <w:tr2bl w:val="nil"/>
                  </w:tcBorders>
                  <w:vAlign w:val="center"/>
                </w:tcPr>
                <w:p>
                  <w:pPr>
                    <w:jc w:val="center"/>
                    <w:rPr>
                      <w:rFonts w:hint="default" w:ascii="Times New Roman" w:hAnsi="Times New Roman" w:eastAsia="宋体" w:cs="Times New Roman"/>
                      <w:bCs/>
                      <w:sz w:val="18"/>
                      <w:szCs w:val="18"/>
                      <w:lang w:val="en-US"/>
                    </w:rPr>
                  </w:pPr>
                  <w:r>
                    <w:rPr>
                      <w:rFonts w:hint="eastAsia" w:cs="Times New Roman"/>
                      <w:bCs/>
                      <w:sz w:val="18"/>
                      <w:szCs w:val="18"/>
                      <w:lang w:val="en-US" w:eastAsia="zh-CN"/>
                    </w:rPr>
                    <w:t>0.22</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6</w:t>
                  </w:r>
                </w:p>
              </w:tc>
              <w:tc>
                <w:tcPr>
                  <w:tcW w:w="656" w:type="pct"/>
                  <w:tcBorders>
                    <w:tl2br w:val="nil"/>
                    <w:tr2bl w:val="nil"/>
                  </w:tcBorders>
                  <w:vAlign w:val="center"/>
                </w:tcPr>
                <w:p>
                  <w:pPr>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lang w:val="en-US" w:eastAsia="zh-CN"/>
                    </w:rPr>
                    <w:t>装配外购组件</w:t>
                  </w:r>
                </w:p>
              </w:tc>
              <w:tc>
                <w:tcPr>
                  <w:tcW w:w="940" w:type="pct"/>
                  <w:tcBorders>
                    <w:tl2br w:val="nil"/>
                    <w:tr2bl w:val="nil"/>
                  </w:tcBorders>
                  <w:vAlign w:val="center"/>
                </w:tcPr>
                <w:p>
                  <w:pPr>
                    <w:jc w:val="center"/>
                    <w:rPr>
                      <w:rFonts w:hint="eastAsia" w:ascii="Times New Roman" w:hAnsi="Times New Roman" w:eastAsia="宋体" w:cs="Times New Roman"/>
                      <w:bCs/>
                      <w:sz w:val="18"/>
                      <w:szCs w:val="18"/>
                      <w:lang w:val="en-US" w:eastAsia="zh-CN"/>
                    </w:rPr>
                  </w:pPr>
                  <w:r>
                    <w:rPr>
                      <w:rFonts w:hint="eastAsia" w:cs="Times New Roman"/>
                      <w:bCs/>
                      <w:sz w:val="18"/>
                      <w:szCs w:val="18"/>
                      <w:lang w:val="en-US" w:eastAsia="zh-CN"/>
                    </w:rPr>
                    <w:t>/</w:t>
                  </w:r>
                </w:p>
              </w:tc>
              <w:tc>
                <w:tcPr>
                  <w:tcW w:w="259" w:type="pct"/>
                  <w:tcBorders>
                    <w:tl2br w:val="nil"/>
                    <w:tr2bl w:val="nil"/>
                  </w:tcBorders>
                  <w:vAlign w:val="center"/>
                </w:tcPr>
                <w:p>
                  <w:pPr>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固</w:t>
                  </w:r>
                </w:p>
              </w:tc>
              <w:tc>
                <w:tcPr>
                  <w:tcW w:w="486" w:type="pct"/>
                  <w:tcBorders>
                    <w:top w:val="single" w:color="auto" w:sz="4" w:space="0"/>
                    <w:tl2br w:val="nil"/>
                    <w:tr2bl w:val="nil"/>
                  </w:tcBorders>
                  <w:vAlign w:val="center"/>
                </w:tcPr>
                <w:p>
                  <w:pPr>
                    <w:jc w:val="center"/>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45000个</w:t>
                  </w:r>
                </w:p>
              </w:tc>
              <w:tc>
                <w:tcPr>
                  <w:tcW w:w="353" w:type="pct"/>
                  <w:tcBorders>
                    <w:top w:val="single" w:color="auto" w:sz="4" w:space="0"/>
                    <w:tl2br w:val="nil"/>
                    <w:tr2bl w:val="nil"/>
                  </w:tcBorders>
                  <w:vAlign w:val="center"/>
                </w:tcPr>
                <w:p>
                  <w:pPr>
                    <w:jc w:val="center"/>
                    <w:rPr>
                      <w:rFonts w:hint="default" w:ascii="Times New Roman" w:hAnsi="Times New Roman" w:eastAsia="宋体" w:cs="Times New Roman"/>
                      <w:bCs/>
                      <w:sz w:val="18"/>
                      <w:szCs w:val="18"/>
                      <w:lang w:val="en-US" w:eastAsia="zh-CN"/>
                    </w:rPr>
                  </w:pPr>
                  <w:r>
                    <w:rPr>
                      <w:rFonts w:hint="eastAsia"/>
                      <w:bCs/>
                      <w:color w:val="auto"/>
                      <w:sz w:val="18"/>
                      <w:szCs w:val="18"/>
                      <w:lang w:val="en-US" w:eastAsia="zh-CN"/>
                    </w:rPr>
                    <w:t>0</w:t>
                  </w:r>
                </w:p>
              </w:tc>
              <w:tc>
                <w:tcPr>
                  <w:tcW w:w="442" w:type="pct"/>
                  <w:tcBorders>
                    <w:top w:val="single" w:color="auto" w:sz="4" w:space="0"/>
                    <w:tl2br w:val="nil"/>
                    <w:tr2bl w:val="nil"/>
                  </w:tcBorders>
                  <w:vAlign w:val="center"/>
                </w:tcPr>
                <w:p>
                  <w:pPr>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lang w:val="en-US" w:eastAsia="zh-CN"/>
                    </w:rPr>
                    <w:t>45000个</w:t>
                  </w:r>
                </w:p>
              </w:tc>
              <w:tc>
                <w:tcPr>
                  <w:tcW w:w="485" w:type="pct"/>
                  <w:tcBorders>
                    <w:tl2br w:val="nil"/>
                    <w:tr2bl w:val="nil"/>
                  </w:tcBorders>
                  <w:vAlign w:val="center"/>
                </w:tcPr>
                <w:p>
                  <w:pPr>
                    <w:jc w:val="center"/>
                    <w:rPr>
                      <w:rFonts w:hint="eastAsia" w:ascii="Times New Roman" w:hAnsi="Times New Roman" w:eastAsia="宋体" w:cs="Times New Roman"/>
                      <w:bCs/>
                      <w:sz w:val="18"/>
                      <w:szCs w:val="18"/>
                      <w:lang w:val="en-US" w:eastAsia="zh-CN"/>
                    </w:rPr>
                  </w:pPr>
                  <w:r>
                    <w:rPr>
                      <w:rFonts w:hint="eastAsia" w:cs="Times New Roman"/>
                      <w:bCs/>
                      <w:sz w:val="18"/>
                      <w:szCs w:val="18"/>
                      <w:lang w:val="en-US" w:eastAsia="zh-CN"/>
                    </w:rPr>
                    <w:t>/</w:t>
                  </w:r>
                </w:p>
              </w:tc>
              <w:tc>
                <w:tcPr>
                  <w:tcW w:w="438" w:type="pct"/>
                  <w:tcBorders>
                    <w:tl2br w:val="nil"/>
                    <w:tr2bl w:val="nil"/>
                  </w:tcBorders>
                  <w:vAlign w:val="center"/>
                </w:tcPr>
                <w:p>
                  <w:pPr>
                    <w:jc w:val="center"/>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原料暂存区</w:t>
                  </w:r>
                </w:p>
              </w:tc>
              <w:tc>
                <w:tcPr>
                  <w:tcW w:w="422" w:type="pct"/>
                  <w:tcBorders>
                    <w:tl2br w:val="nil"/>
                    <w:tr2bl w:val="nil"/>
                  </w:tcBorders>
                  <w:vAlign w:val="center"/>
                </w:tcPr>
                <w:p>
                  <w:pPr>
                    <w:jc w:val="center"/>
                    <w:rPr>
                      <w:rFonts w:hint="eastAsia" w:ascii="Times New Roman" w:hAnsi="Times New Roman" w:eastAsia="宋体" w:cs="Times New Roman"/>
                      <w:bCs/>
                      <w:sz w:val="18"/>
                      <w:szCs w:val="18"/>
                    </w:rPr>
                  </w:pPr>
                  <w:r>
                    <w:rPr>
                      <w:rFonts w:hint="eastAsia" w:ascii="Times New Roman" w:hAnsi="Times New Roman" w:eastAsia="宋体" w:cs="Times New Roman"/>
                      <w:bCs/>
                      <w:sz w:val="18"/>
                      <w:szCs w:val="18"/>
                      <w:lang w:val="en-US" w:eastAsia="zh-CN"/>
                    </w:rPr>
                    <w:t>4000个</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7</w:t>
                  </w:r>
                </w:p>
              </w:tc>
              <w:tc>
                <w:tcPr>
                  <w:tcW w:w="6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短中期气化性防锈剂</w:t>
                  </w:r>
                </w:p>
              </w:tc>
              <w:tc>
                <w:tcPr>
                  <w:tcW w:w="940"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丙烷70-80%，2,2,4-三硝基胺10-20%，其他</w:t>
                  </w:r>
                  <w:r>
                    <w:rPr>
                      <w:rFonts w:hint="eastAsia" w:ascii="微软雅黑" w:hAnsi="微软雅黑" w:eastAsia="微软雅黑" w:cs="微软雅黑"/>
                      <w:color w:val="auto"/>
                      <w:sz w:val="18"/>
                      <w:szCs w:val="18"/>
                      <w:lang w:val="en-US" w:eastAsia="zh-CN"/>
                    </w:rPr>
                    <w:t>&lt;</w:t>
                  </w:r>
                  <w:r>
                    <w:rPr>
                      <w:rFonts w:hint="eastAsia" w:cs="Times New Roman"/>
                      <w:color w:val="auto"/>
                      <w:sz w:val="18"/>
                      <w:szCs w:val="18"/>
                      <w:lang w:val="en-US" w:eastAsia="zh-CN"/>
                    </w:rPr>
                    <w:t>1%</w:t>
                  </w:r>
                </w:p>
              </w:tc>
              <w:tc>
                <w:tcPr>
                  <w:tcW w:w="259"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bCs/>
                      <w:color w:val="auto"/>
                      <w:sz w:val="18"/>
                      <w:szCs w:val="18"/>
                      <w:lang w:val="en-US" w:eastAsia="zh-CN"/>
                    </w:rPr>
                    <w:t>液</w:t>
                  </w:r>
                </w:p>
              </w:tc>
              <w:tc>
                <w:tcPr>
                  <w:tcW w:w="486" w:type="pct"/>
                  <w:tcBorders>
                    <w:tl2br w:val="nil"/>
                    <w:tr2bl w:val="nil"/>
                  </w:tcBorders>
                  <w:vAlign w:val="center"/>
                </w:tcPr>
                <w:p>
                  <w:pPr>
                    <w:widowControl/>
                    <w:adjustRightInd w:val="0"/>
                    <w:snapToGrid w:val="0"/>
                    <w:jc w:val="center"/>
                    <w:rPr>
                      <w:rFonts w:hint="default" w:eastAsia="宋体" w:cs="Times New Roman"/>
                      <w:b w:val="0"/>
                      <w:bCs w:val="0"/>
                      <w:color w:val="auto"/>
                      <w:sz w:val="18"/>
                      <w:szCs w:val="18"/>
                      <w:lang w:val="en-US" w:eastAsia="zh-CN"/>
                    </w:rPr>
                  </w:pPr>
                  <w:r>
                    <w:rPr>
                      <w:rFonts w:hint="eastAsia"/>
                      <w:sz w:val="18"/>
                      <w:szCs w:val="18"/>
                      <w:lang w:val="en-US" w:eastAsia="zh-CN"/>
                    </w:rPr>
                    <w:t>0.13</w:t>
                  </w:r>
                </w:p>
              </w:tc>
              <w:tc>
                <w:tcPr>
                  <w:tcW w:w="353"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0</w:t>
                  </w:r>
                </w:p>
              </w:tc>
              <w:tc>
                <w:tcPr>
                  <w:tcW w:w="44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sz w:val="18"/>
                      <w:szCs w:val="18"/>
                      <w:lang w:val="en-US" w:eastAsia="zh-CN"/>
                    </w:rPr>
                    <w:t>0.13</w:t>
                  </w:r>
                </w:p>
              </w:tc>
              <w:tc>
                <w:tcPr>
                  <w:tcW w:w="485"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5</w:t>
                  </w:r>
                  <w:r>
                    <w:rPr>
                      <w:sz w:val="18"/>
                      <w:szCs w:val="18"/>
                    </w:rPr>
                    <w:t>50</w:t>
                  </w:r>
                  <w:r>
                    <w:rPr>
                      <w:rFonts w:hint="eastAsia"/>
                      <w:sz w:val="18"/>
                      <w:szCs w:val="18"/>
                    </w:rPr>
                    <w:t>ml/瓶</w:t>
                  </w:r>
                </w:p>
              </w:tc>
              <w:tc>
                <w:tcPr>
                  <w:tcW w:w="438"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模具车间防爆柜</w:t>
                  </w:r>
                </w:p>
              </w:tc>
              <w:tc>
                <w:tcPr>
                  <w:tcW w:w="42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sz w:val="18"/>
                      <w:szCs w:val="18"/>
                      <w:lang w:val="en-US" w:eastAsia="zh-CN"/>
                    </w:rPr>
                    <w:t>0.011</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8</w:t>
                  </w:r>
                </w:p>
              </w:tc>
              <w:tc>
                <w:tcPr>
                  <w:tcW w:w="656" w:type="pct"/>
                  <w:tcBorders>
                    <w:tl2br w:val="nil"/>
                    <w:tr2bl w:val="nil"/>
                  </w:tcBorders>
                  <w:vAlign w:val="center"/>
                </w:tcPr>
                <w:p>
                  <w:pPr>
                    <w:snapToGrid w:val="0"/>
                    <w:jc w:val="center"/>
                    <w:rPr>
                      <w:rFonts w:hint="default" w:cs="Times New Roman"/>
                      <w:color w:val="auto"/>
                      <w:sz w:val="18"/>
                      <w:szCs w:val="18"/>
                      <w:highlight w:val="yellow"/>
                      <w:lang w:val="en-US" w:eastAsia="zh-CN"/>
                    </w:rPr>
                  </w:pPr>
                  <w:r>
                    <w:rPr>
                      <w:rFonts w:hint="eastAsia" w:cs="Times New Roman"/>
                      <w:b w:val="0"/>
                      <w:bCs w:val="0"/>
                      <w:color w:val="000000"/>
                      <w:sz w:val="18"/>
                      <w:szCs w:val="18"/>
                      <w:lang w:val="en-US" w:eastAsia="zh-CN"/>
                    </w:rPr>
                    <w:t>水性油墨</w:t>
                  </w:r>
                </w:p>
              </w:tc>
              <w:tc>
                <w:tcPr>
                  <w:tcW w:w="940" w:type="pct"/>
                  <w:tcBorders>
                    <w:tl2br w:val="nil"/>
                    <w:tr2bl w:val="nil"/>
                  </w:tcBorders>
                  <w:vAlign w:val="center"/>
                </w:tcPr>
                <w:p>
                  <w:pPr>
                    <w:snapToGrid w:val="0"/>
                    <w:jc w:val="center"/>
                    <w:rPr>
                      <w:rFonts w:hint="default" w:cs="Times New Roman"/>
                      <w:color w:val="auto"/>
                      <w:sz w:val="18"/>
                      <w:szCs w:val="18"/>
                      <w:highlight w:val="yellow"/>
                      <w:lang w:val="en-US" w:eastAsia="zh-CN"/>
                    </w:rPr>
                  </w:pPr>
                  <w:r>
                    <w:rPr>
                      <w:rFonts w:hint="eastAsia" w:cs="Times New Roman"/>
                      <w:b w:val="0"/>
                      <w:bCs w:val="0"/>
                      <w:color w:val="000000"/>
                      <w:sz w:val="18"/>
                      <w:szCs w:val="18"/>
                      <w:lang w:val="en-US" w:eastAsia="zh-CN"/>
                    </w:rPr>
                    <w:t>颜料15</w:t>
                  </w:r>
                  <w:r>
                    <w:rPr>
                      <w:rFonts w:hint="eastAsia" w:ascii="Times New Roman" w:hAnsi="Times New Roman" w:eastAsia="宋体" w:cs="Times New Roman"/>
                      <w:b w:val="0"/>
                      <w:bCs w:val="0"/>
                      <w:color w:val="000000"/>
                      <w:sz w:val="18"/>
                      <w:szCs w:val="18"/>
                      <w:lang w:val="en-US" w:eastAsia="zh-CN"/>
                    </w:rPr>
                    <w:t>-</w:t>
                  </w:r>
                  <w:r>
                    <w:rPr>
                      <w:rFonts w:hint="eastAsia" w:cs="Times New Roman"/>
                      <w:b w:val="0"/>
                      <w:bCs w:val="0"/>
                      <w:color w:val="000000"/>
                      <w:sz w:val="18"/>
                      <w:szCs w:val="18"/>
                      <w:lang w:val="en-US" w:eastAsia="zh-CN"/>
                    </w:rPr>
                    <w:t>30</w:t>
                  </w:r>
                  <w:r>
                    <w:rPr>
                      <w:rFonts w:hint="eastAsia" w:cs="Times New Roman"/>
                      <w:color w:val="auto"/>
                      <w:sz w:val="18"/>
                      <w:szCs w:val="18"/>
                      <w:highlight w:val="none"/>
                      <w:lang w:val="en-US" w:eastAsia="zh-CN"/>
                    </w:rPr>
                    <w:t>%</w:t>
                  </w:r>
                  <w:r>
                    <w:rPr>
                      <w:rFonts w:hint="eastAsia" w:ascii="Times New Roman" w:hAnsi="Times New Roman" w:eastAsia="宋体" w:cs="Times New Roman"/>
                      <w:b w:val="0"/>
                      <w:bCs w:val="0"/>
                      <w:color w:val="000000"/>
                      <w:sz w:val="18"/>
                      <w:szCs w:val="18"/>
                      <w:lang w:val="en-US" w:eastAsia="zh-CN"/>
                    </w:rPr>
                    <w:t>，</w:t>
                  </w:r>
                  <w:r>
                    <w:rPr>
                      <w:rFonts w:hint="eastAsia" w:cs="Times New Roman"/>
                      <w:b w:val="0"/>
                      <w:bCs w:val="0"/>
                      <w:color w:val="000000"/>
                      <w:sz w:val="18"/>
                      <w:szCs w:val="18"/>
                      <w:lang w:val="en-US" w:eastAsia="zh-CN"/>
                    </w:rPr>
                    <w:t>水性丙烯酸树脂30</w:t>
                  </w:r>
                  <w:r>
                    <w:rPr>
                      <w:rFonts w:hint="eastAsia" w:ascii="Times New Roman" w:hAnsi="Times New Roman" w:eastAsia="宋体" w:cs="Times New Roman"/>
                      <w:b w:val="0"/>
                      <w:bCs w:val="0"/>
                      <w:color w:val="000000"/>
                      <w:sz w:val="18"/>
                      <w:szCs w:val="18"/>
                      <w:lang w:val="en-US" w:eastAsia="zh-CN"/>
                    </w:rPr>
                    <w:t>-</w:t>
                  </w:r>
                  <w:r>
                    <w:rPr>
                      <w:rFonts w:hint="eastAsia" w:cs="Times New Roman"/>
                      <w:b w:val="0"/>
                      <w:bCs w:val="0"/>
                      <w:color w:val="000000"/>
                      <w:sz w:val="18"/>
                      <w:szCs w:val="18"/>
                      <w:lang w:val="en-US" w:eastAsia="zh-CN"/>
                    </w:rPr>
                    <w:t>5</w:t>
                  </w:r>
                  <w:r>
                    <w:rPr>
                      <w:rFonts w:hint="eastAsia" w:ascii="Times New Roman" w:hAnsi="Times New Roman" w:eastAsia="宋体" w:cs="Times New Roman"/>
                      <w:b w:val="0"/>
                      <w:bCs w:val="0"/>
                      <w:color w:val="000000"/>
                      <w:sz w:val="18"/>
                      <w:szCs w:val="18"/>
                      <w:lang w:val="en-US" w:eastAsia="zh-CN"/>
                    </w:rPr>
                    <w:t>0%</w:t>
                  </w:r>
                  <w:r>
                    <w:rPr>
                      <w:rFonts w:hint="eastAsia" w:cs="Times New Roman"/>
                      <w:b w:val="0"/>
                      <w:bCs w:val="0"/>
                      <w:color w:val="000000"/>
                      <w:sz w:val="18"/>
                      <w:szCs w:val="18"/>
                      <w:lang w:val="en-US" w:eastAsia="zh-CN"/>
                    </w:rPr>
                    <w:t>，水15-30%，其他助剂5-10%</w:t>
                  </w:r>
                </w:p>
              </w:tc>
              <w:tc>
                <w:tcPr>
                  <w:tcW w:w="259" w:type="pct"/>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r>
                    <w:rPr>
                      <w:rFonts w:hint="eastAsia"/>
                      <w:bCs/>
                      <w:color w:val="auto"/>
                      <w:sz w:val="18"/>
                      <w:szCs w:val="18"/>
                      <w:lang w:val="en-US" w:eastAsia="zh-CN"/>
                    </w:rPr>
                    <w:t>液</w:t>
                  </w:r>
                </w:p>
              </w:tc>
              <w:tc>
                <w:tcPr>
                  <w:tcW w:w="486" w:type="pct"/>
                  <w:tcBorders>
                    <w:tl2br w:val="nil"/>
                    <w:tr2bl w:val="nil"/>
                  </w:tcBorders>
                  <w:vAlign w:val="center"/>
                </w:tcPr>
                <w:p>
                  <w:pPr>
                    <w:widowControl/>
                    <w:adjustRightInd w:val="0"/>
                    <w:snapToGrid w:val="0"/>
                    <w:jc w:val="center"/>
                    <w:rPr>
                      <w:rFonts w:hint="default" w:cs="Times New Roman"/>
                      <w:b w:val="0"/>
                      <w:bCs w:val="0"/>
                      <w:color w:val="auto"/>
                      <w:sz w:val="18"/>
                      <w:szCs w:val="18"/>
                      <w:lang w:val="en-US" w:eastAsia="zh-CN"/>
                    </w:rPr>
                  </w:pPr>
                  <w:r>
                    <w:rPr>
                      <w:rFonts w:hint="eastAsia"/>
                      <w:sz w:val="18"/>
                      <w:szCs w:val="18"/>
                      <w:lang w:val="en-US" w:eastAsia="zh-CN"/>
                    </w:rPr>
                    <w:t>0.011</w:t>
                  </w:r>
                </w:p>
              </w:tc>
              <w:tc>
                <w:tcPr>
                  <w:tcW w:w="353"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0</w:t>
                  </w:r>
                </w:p>
              </w:tc>
              <w:tc>
                <w:tcPr>
                  <w:tcW w:w="442"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lang w:val="en-US" w:eastAsia="zh-CN"/>
                    </w:rPr>
                    <w:t>0.011</w:t>
                  </w:r>
                </w:p>
              </w:tc>
              <w:tc>
                <w:tcPr>
                  <w:tcW w:w="485"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1</w:t>
                  </w:r>
                  <w:r>
                    <w:rPr>
                      <w:sz w:val="18"/>
                      <w:szCs w:val="18"/>
                    </w:rPr>
                    <w:t>L</w:t>
                  </w:r>
                  <w:r>
                    <w:rPr>
                      <w:rFonts w:hint="eastAsia"/>
                      <w:sz w:val="18"/>
                      <w:szCs w:val="18"/>
                    </w:rPr>
                    <w:t>/瓶</w:t>
                  </w:r>
                </w:p>
              </w:tc>
              <w:tc>
                <w:tcPr>
                  <w:tcW w:w="438"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移印防爆柜</w:t>
                  </w:r>
                </w:p>
              </w:tc>
              <w:tc>
                <w:tcPr>
                  <w:tcW w:w="422" w:type="pct"/>
                  <w:tcBorders>
                    <w:tl2br w:val="nil"/>
                    <w:tr2bl w:val="nil"/>
                  </w:tcBorders>
                  <w:vAlign w:val="center"/>
                </w:tcPr>
                <w:p>
                  <w:pPr>
                    <w:widowControl/>
                    <w:jc w:val="center"/>
                    <w:textAlignment w:val="center"/>
                    <w:rPr>
                      <w:rFonts w:hint="eastAsia" w:eastAsia="宋体" w:cs="Times New Roman"/>
                      <w:color w:val="auto"/>
                      <w:sz w:val="18"/>
                      <w:szCs w:val="18"/>
                      <w:lang w:val="en-US" w:eastAsia="zh-CN"/>
                    </w:rPr>
                  </w:pPr>
                  <w:r>
                    <w:rPr>
                      <w:rFonts w:hint="eastAsia"/>
                      <w:sz w:val="18"/>
                      <w:szCs w:val="18"/>
                      <w:lang w:val="en-US" w:eastAsia="zh-CN"/>
                    </w:rPr>
                    <w:t>0.003</w:t>
                  </w:r>
                </w:p>
              </w:tc>
              <w:tc>
                <w:tcPr>
                  <w:tcW w:w="259" w:type="pct"/>
                  <w:vMerge w:val="continue"/>
                  <w:tcBorders>
                    <w:tl2br w:val="nil"/>
                    <w:tr2bl w:val="nil"/>
                  </w:tcBorders>
                  <w:vAlign w:val="center"/>
                </w:tcPr>
                <w:p>
                  <w:pPr>
                    <w:widowControl/>
                    <w:spacing w:line="240" w:lineRule="auto"/>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spacing w:line="240" w:lineRule="auto"/>
                    <w:jc w:val="center"/>
                    <w:textAlignment w:val="center"/>
                    <w:rPr>
                      <w:rFonts w:hint="eastAsia" w:eastAsia="宋体" w:cs="Times New Roman"/>
                      <w:color w:val="auto"/>
                      <w:sz w:val="18"/>
                      <w:szCs w:val="18"/>
                      <w:highlight w:val="none"/>
                      <w:lang w:val="en-US" w:eastAsia="zh-CN"/>
                    </w:rPr>
                  </w:pPr>
                  <w:r>
                    <w:rPr>
                      <w:rFonts w:hint="eastAsia" w:cs="Times New Roman"/>
                      <w:color w:val="auto"/>
                      <w:sz w:val="18"/>
                      <w:szCs w:val="18"/>
                      <w:lang w:val="en-US" w:eastAsia="zh-CN"/>
                    </w:rPr>
                    <w:t>9</w:t>
                  </w:r>
                </w:p>
              </w:tc>
              <w:tc>
                <w:tcPr>
                  <w:tcW w:w="656"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Wd-40 防锈油</w:t>
                  </w:r>
                </w:p>
              </w:tc>
              <w:tc>
                <w:tcPr>
                  <w:tcW w:w="940"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矿物油</w:t>
                  </w:r>
                  <w:r>
                    <w:rPr>
                      <w:rFonts w:hint="default" w:ascii="Times New Roman" w:hAnsi="Times New Roman" w:cs="Times New Roman"/>
                      <w:color w:val="auto"/>
                      <w:sz w:val="18"/>
                      <w:szCs w:val="18"/>
                      <w:lang w:val="en-US" w:eastAsia="zh-CN"/>
                    </w:rPr>
                    <w:t>&gt;</w:t>
                  </w:r>
                  <w:r>
                    <w:rPr>
                      <w:rFonts w:hint="eastAsia" w:cs="Times New Roman"/>
                      <w:color w:val="auto"/>
                      <w:sz w:val="18"/>
                      <w:szCs w:val="18"/>
                      <w:lang w:val="en-US" w:eastAsia="zh-CN"/>
                    </w:rPr>
                    <w:t>20%，溶剂油</w:t>
                  </w:r>
                  <w:r>
                    <w:rPr>
                      <w:rFonts w:hint="eastAsia" w:ascii="微软雅黑" w:hAnsi="微软雅黑" w:eastAsia="微软雅黑" w:cs="微软雅黑"/>
                      <w:color w:val="auto"/>
                      <w:sz w:val="18"/>
                      <w:szCs w:val="18"/>
                      <w:lang w:val="en-US" w:eastAsia="zh-CN"/>
                    </w:rPr>
                    <w:t>&lt;</w:t>
                  </w:r>
                  <w:r>
                    <w:rPr>
                      <w:rFonts w:hint="eastAsia" w:cs="Times New Roman"/>
                      <w:color w:val="auto"/>
                      <w:sz w:val="18"/>
                      <w:szCs w:val="18"/>
                      <w:lang w:val="en-US" w:eastAsia="zh-CN"/>
                    </w:rPr>
                    <w:t>70%</w:t>
                  </w:r>
                </w:p>
              </w:tc>
              <w:tc>
                <w:tcPr>
                  <w:tcW w:w="259"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液</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b w:val="0"/>
                      <w:bCs w:val="0"/>
                      <w:kern w:val="2"/>
                      <w:sz w:val="18"/>
                      <w:szCs w:val="18"/>
                      <w:lang w:val="en-US" w:eastAsia="zh-CN" w:bidi="ar"/>
                    </w:rPr>
                  </w:pPr>
                  <w:r>
                    <w:rPr>
                      <w:rFonts w:hint="eastAsia"/>
                      <w:sz w:val="18"/>
                      <w:szCs w:val="18"/>
                      <w:lang w:val="en-US" w:eastAsia="zh-CN"/>
                    </w:rPr>
                    <w:t>0.03</w:t>
                  </w:r>
                </w:p>
              </w:tc>
              <w:tc>
                <w:tcPr>
                  <w:tcW w:w="353"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0</w:t>
                  </w:r>
                </w:p>
              </w:tc>
              <w:tc>
                <w:tcPr>
                  <w:tcW w:w="44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sz w:val="18"/>
                      <w:szCs w:val="18"/>
                      <w:lang w:val="en-US" w:eastAsia="zh-CN"/>
                    </w:rPr>
                    <w:t>0.03</w:t>
                  </w:r>
                </w:p>
              </w:tc>
              <w:tc>
                <w:tcPr>
                  <w:tcW w:w="485"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3</w:t>
                  </w:r>
                  <w:r>
                    <w:rPr>
                      <w:sz w:val="18"/>
                      <w:szCs w:val="18"/>
                    </w:rPr>
                    <w:t>50</w:t>
                  </w:r>
                  <w:r>
                    <w:rPr>
                      <w:rFonts w:hint="eastAsia"/>
                      <w:sz w:val="18"/>
                      <w:szCs w:val="18"/>
                    </w:rPr>
                    <w:t>ml/瓶</w:t>
                  </w:r>
                </w:p>
              </w:tc>
              <w:tc>
                <w:tcPr>
                  <w:tcW w:w="438"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模具防爆柜</w:t>
                  </w:r>
                </w:p>
              </w:tc>
              <w:tc>
                <w:tcPr>
                  <w:tcW w:w="42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sz w:val="18"/>
                      <w:szCs w:val="18"/>
                      <w:lang w:val="en-US" w:eastAsia="zh-CN"/>
                    </w:rPr>
                    <w:t>0.008</w:t>
                  </w:r>
                </w:p>
              </w:tc>
              <w:tc>
                <w:tcPr>
                  <w:tcW w:w="259" w:type="pct"/>
                  <w:vMerge w:val="continue"/>
                  <w:tcBorders>
                    <w:tl2br w:val="nil"/>
                    <w:tr2bl w:val="nil"/>
                  </w:tcBorders>
                  <w:vAlign w:val="center"/>
                </w:tcPr>
                <w:p>
                  <w:pPr>
                    <w:widowControl/>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jc w:val="center"/>
                    <w:textAlignment w:val="center"/>
                    <w:rPr>
                      <w:rFonts w:hint="eastAsia" w:eastAsia="宋体" w:cs="Times New Roman"/>
                      <w:color w:val="auto"/>
                      <w:sz w:val="18"/>
                      <w:szCs w:val="18"/>
                      <w:highlight w:val="none"/>
                      <w:lang w:val="en-US" w:eastAsia="zh-CN"/>
                    </w:rPr>
                  </w:pPr>
                  <w:r>
                    <w:rPr>
                      <w:rFonts w:hint="eastAsia"/>
                      <w:sz w:val="18"/>
                      <w:szCs w:val="18"/>
                      <w:highlight w:val="none"/>
                    </w:rPr>
                    <w:t>1</w:t>
                  </w:r>
                  <w:r>
                    <w:rPr>
                      <w:rFonts w:hint="eastAsia"/>
                      <w:sz w:val="18"/>
                      <w:szCs w:val="18"/>
                      <w:highlight w:val="none"/>
                      <w:lang w:val="en-US" w:eastAsia="zh-CN"/>
                    </w:rPr>
                    <w:t>0</w:t>
                  </w:r>
                </w:p>
              </w:tc>
              <w:tc>
                <w:tcPr>
                  <w:tcW w:w="656"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MOBIL DTE 25</w:t>
                  </w:r>
                  <w:r>
                    <w:rPr>
                      <w:rFonts w:hint="eastAsia" w:cs="Times New Roman"/>
                      <w:color w:val="auto"/>
                      <w:sz w:val="18"/>
                      <w:szCs w:val="18"/>
                      <w:lang w:val="en-US" w:eastAsia="zh-CN"/>
                    </w:rPr>
                    <w:t>液压油</w:t>
                  </w:r>
                </w:p>
              </w:tc>
              <w:tc>
                <w:tcPr>
                  <w:tcW w:w="940"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2, 6-二叔丁基对甲基苯酚</w:t>
                  </w:r>
                  <w:r>
                    <w:rPr>
                      <w:rFonts w:hint="eastAsia" w:cs="Times New Roman"/>
                      <w:color w:val="auto"/>
                      <w:sz w:val="18"/>
                      <w:szCs w:val="18"/>
                      <w:lang w:val="en-US" w:eastAsia="zh-CN"/>
                    </w:rPr>
                    <w:t>0.1-0.25%，二壬基萘磺酸钙0.1-1%，二硫代磷酸锌0.1-1%，基础油96%</w:t>
                  </w:r>
                </w:p>
              </w:tc>
              <w:tc>
                <w:tcPr>
                  <w:tcW w:w="259"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液</w:t>
                  </w:r>
                </w:p>
              </w:tc>
              <w:tc>
                <w:tcPr>
                  <w:tcW w:w="486" w:type="pct"/>
                  <w:tcBorders>
                    <w:tl2br w:val="nil"/>
                    <w:tr2bl w:val="nil"/>
                  </w:tcBorders>
                  <w:vAlign w:val="center"/>
                </w:tcPr>
                <w:p>
                  <w:pPr>
                    <w:widowControl/>
                    <w:jc w:val="center"/>
                    <w:textAlignment w:val="center"/>
                    <w:rPr>
                      <w:rFonts w:hint="eastAsia" w:ascii="Times New Roman" w:hAnsi="Times New Roman" w:cs="Times New Roman"/>
                      <w:b w:val="0"/>
                      <w:bCs w:val="0"/>
                      <w:kern w:val="2"/>
                      <w:sz w:val="18"/>
                      <w:szCs w:val="18"/>
                      <w:lang w:val="en-US" w:eastAsia="zh-CN" w:bidi="ar"/>
                    </w:rPr>
                  </w:pPr>
                  <w:r>
                    <w:rPr>
                      <w:sz w:val="18"/>
                      <w:szCs w:val="18"/>
                      <w:lang w:bidi="ar"/>
                    </w:rPr>
                    <w:t>1</w:t>
                  </w:r>
                </w:p>
              </w:tc>
              <w:tc>
                <w:tcPr>
                  <w:tcW w:w="353"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0</w:t>
                  </w:r>
                </w:p>
              </w:tc>
              <w:tc>
                <w:tcPr>
                  <w:tcW w:w="442"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sz w:val="18"/>
                      <w:szCs w:val="18"/>
                    </w:rPr>
                    <w:t>1</w:t>
                  </w:r>
                </w:p>
              </w:tc>
              <w:tc>
                <w:tcPr>
                  <w:tcW w:w="485"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sz w:val="18"/>
                      <w:szCs w:val="18"/>
                    </w:rPr>
                    <w:t>208L/</w:t>
                  </w:r>
                  <w:r>
                    <w:rPr>
                      <w:rFonts w:hint="eastAsia"/>
                      <w:sz w:val="18"/>
                      <w:szCs w:val="18"/>
                    </w:rPr>
                    <w:t>桶</w:t>
                  </w:r>
                </w:p>
              </w:tc>
              <w:tc>
                <w:tcPr>
                  <w:tcW w:w="438" w:type="pct"/>
                  <w:tcBorders>
                    <w:tl2br w:val="nil"/>
                    <w:tr2bl w:val="nil"/>
                  </w:tcBorders>
                  <w:vAlign w:val="center"/>
                </w:tcPr>
                <w:p>
                  <w:pPr>
                    <w:widowControl/>
                    <w:jc w:val="center"/>
                    <w:textAlignment w:val="center"/>
                    <w:rPr>
                      <w:rFonts w:hint="eastAsia" w:eastAsia="宋体" w:cs="Times New Roman"/>
                      <w:color w:val="auto"/>
                      <w:sz w:val="18"/>
                      <w:szCs w:val="18"/>
                      <w:lang w:val="en-US" w:eastAsia="zh-CN"/>
                    </w:rPr>
                  </w:pPr>
                  <w:r>
                    <w:rPr>
                      <w:rFonts w:hint="eastAsia"/>
                      <w:sz w:val="18"/>
                      <w:szCs w:val="18"/>
                    </w:rPr>
                    <w:t>化学品</w:t>
                  </w:r>
                  <w:r>
                    <w:rPr>
                      <w:rFonts w:hint="eastAsia"/>
                      <w:sz w:val="18"/>
                      <w:szCs w:val="18"/>
                      <w:lang w:val="en-US" w:eastAsia="zh-CN"/>
                    </w:rPr>
                    <w:t>库</w:t>
                  </w:r>
                </w:p>
              </w:tc>
              <w:tc>
                <w:tcPr>
                  <w:tcW w:w="42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sz w:val="18"/>
                      <w:szCs w:val="18"/>
                      <w:lang w:val="en-US" w:eastAsia="zh-CN"/>
                    </w:rPr>
                    <w:t>0.73</w:t>
                  </w:r>
                </w:p>
              </w:tc>
              <w:tc>
                <w:tcPr>
                  <w:tcW w:w="259" w:type="pct"/>
                  <w:vMerge w:val="continue"/>
                  <w:tcBorders>
                    <w:tl2br w:val="nil"/>
                    <w:tr2bl w:val="nil"/>
                  </w:tcBorders>
                  <w:vAlign w:val="center"/>
                </w:tcPr>
                <w:p>
                  <w:pPr>
                    <w:widowControl/>
                    <w:jc w:val="center"/>
                    <w:textAlignment w:val="center"/>
                    <w:rPr>
                      <w:rFonts w:hint="default" w:cs="Times New Roman"/>
                      <w:color w:val="auto"/>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sz w:val="18"/>
                      <w:szCs w:val="18"/>
                      <w:highlight w:val="none"/>
                    </w:rPr>
                    <w:t>1</w:t>
                  </w:r>
                  <w:r>
                    <w:rPr>
                      <w:rFonts w:hint="eastAsia"/>
                      <w:sz w:val="18"/>
                      <w:szCs w:val="18"/>
                      <w:highlight w:val="none"/>
                      <w:lang w:val="en-US" w:eastAsia="zh-CN"/>
                    </w:rPr>
                    <w:t>1</w:t>
                  </w:r>
                </w:p>
              </w:tc>
              <w:tc>
                <w:tcPr>
                  <w:tcW w:w="656"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顶针润滑油</w:t>
                  </w:r>
                </w:p>
              </w:tc>
              <w:tc>
                <w:tcPr>
                  <w:tcW w:w="940"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丁烷气</w:t>
                  </w:r>
                  <w:r>
                    <w:rPr>
                      <w:rFonts w:hint="eastAsia" w:cs="Times New Roman"/>
                      <w:color w:val="auto"/>
                      <w:sz w:val="18"/>
                      <w:szCs w:val="18"/>
                      <w:lang w:val="en-US" w:eastAsia="zh-CN"/>
                    </w:rPr>
                    <w:t>40%，碳氢溶剂20%，高温脂35%</w:t>
                  </w:r>
                </w:p>
              </w:tc>
              <w:tc>
                <w:tcPr>
                  <w:tcW w:w="259"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液</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b w:val="0"/>
                      <w:bCs w:val="0"/>
                      <w:kern w:val="2"/>
                      <w:sz w:val="18"/>
                      <w:szCs w:val="18"/>
                      <w:lang w:val="en-US" w:eastAsia="zh-CN" w:bidi="ar"/>
                    </w:rPr>
                  </w:pPr>
                  <w:r>
                    <w:rPr>
                      <w:rFonts w:hint="eastAsia"/>
                      <w:sz w:val="18"/>
                      <w:szCs w:val="18"/>
                      <w:lang w:val="en-US" w:eastAsia="zh-CN" w:bidi="ar"/>
                    </w:rPr>
                    <w:t>0.025</w:t>
                  </w:r>
                </w:p>
              </w:tc>
              <w:tc>
                <w:tcPr>
                  <w:tcW w:w="353"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bCs/>
                      <w:color w:val="auto"/>
                      <w:sz w:val="18"/>
                      <w:szCs w:val="18"/>
                      <w:lang w:val="en-US" w:eastAsia="zh-CN"/>
                    </w:rPr>
                    <w:t>0</w:t>
                  </w:r>
                </w:p>
              </w:tc>
              <w:tc>
                <w:tcPr>
                  <w:tcW w:w="44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sz w:val="18"/>
                      <w:szCs w:val="18"/>
                      <w:lang w:val="en-US" w:eastAsia="zh-CN"/>
                    </w:rPr>
                    <w:t>0.025</w:t>
                  </w:r>
                </w:p>
              </w:tc>
              <w:tc>
                <w:tcPr>
                  <w:tcW w:w="485"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sz w:val="18"/>
                      <w:szCs w:val="18"/>
                    </w:rPr>
                    <w:t>500</w:t>
                  </w:r>
                  <w:r>
                    <w:rPr>
                      <w:rFonts w:hint="eastAsia"/>
                      <w:sz w:val="18"/>
                      <w:szCs w:val="18"/>
                    </w:rPr>
                    <w:t>ml</w:t>
                  </w:r>
                  <w:r>
                    <w:rPr>
                      <w:sz w:val="18"/>
                      <w:szCs w:val="18"/>
                    </w:rPr>
                    <w:t>/</w:t>
                  </w:r>
                  <w:r>
                    <w:rPr>
                      <w:rFonts w:hint="eastAsia"/>
                      <w:sz w:val="18"/>
                      <w:szCs w:val="18"/>
                    </w:rPr>
                    <w:t>瓶</w:t>
                  </w:r>
                </w:p>
              </w:tc>
              <w:tc>
                <w:tcPr>
                  <w:tcW w:w="438" w:type="pct"/>
                  <w:tcBorders>
                    <w:tl2br w:val="nil"/>
                    <w:tr2bl w:val="nil"/>
                  </w:tcBorders>
                  <w:vAlign w:val="center"/>
                </w:tcPr>
                <w:p>
                  <w:pPr>
                    <w:widowControl/>
                    <w:jc w:val="center"/>
                    <w:textAlignment w:val="center"/>
                    <w:rPr>
                      <w:rFonts w:hint="default" w:cs="Times New Roman"/>
                      <w:color w:val="auto"/>
                      <w:sz w:val="18"/>
                      <w:szCs w:val="18"/>
                      <w:lang w:val="en-US" w:eastAsia="zh-CN"/>
                    </w:rPr>
                  </w:pPr>
                  <w:r>
                    <w:rPr>
                      <w:rFonts w:hint="eastAsia"/>
                      <w:sz w:val="18"/>
                      <w:szCs w:val="18"/>
                    </w:rPr>
                    <w:t>模具防爆柜</w:t>
                  </w:r>
                </w:p>
              </w:tc>
              <w:tc>
                <w:tcPr>
                  <w:tcW w:w="422" w:type="pct"/>
                  <w:tcBorders>
                    <w:tl2br w:val="nil"/>
                    <w:tr2bl w:val="nil"/>
                  </w:tcBorders>
                  <w:vAlign w:val="center"/>
                </w:tcPr>
                <w:p>
                  <w:pPr>
                    <w:widowControl/>
                    <w:jc w:val="center"/>
                    <w:textAlignment w:val="center"/>
                    <w:rPr>
                      <w:rFonts w:hint="default" w:eastAsia="宋体" w:cs="Times New Roman"/>
                      <w:color w:val="auto"/>
                      <w:sz w:val="18"/>
                      <w:szCs w:val="18"/>
                      <w:lang w:val="en-US" w:eastAsia="zh-CN"/>
                    </w:rPr>
                  </w:pPr>
                  <w:r>
                    <w:rPr>
                      <w:rFonts w:hint="eastAsia" w:cs="Times New Roman"/>
                      <w:color w:val="auto"/>
                      <w:sz w:val="18"/>
                      <w:szCs w:val="18"/>
                      <w:lang w:val="en-US" w:eastAsia="zh-CN"/>
                    </w:rPr>
                    <w:t>0.012</w:t>
                  </w:r>
                </w:p>
              </w:tc>
              <w:tc>
                <w:tcPr>
                  <w:tcW w:w="259" w:type="pct"/>
                  <w:vMerge w:val="continue"/>
                  <w:tcBorders>
                    <w:tl2br w:val="nil"/>
                    <w:tr2bl w:val="nil"/>
                  </w:tcBorders>
                  <w:vAlign w:val="center"/>
                </w:tcPr>
                <w:p>
                  <w:pPr>
                    <w:widowControl/>
                    <w:jc w:val="center"/>
                    <w:textAlignment w:val="center"/>
                    <w:rPr>
                      <w:rFonts w:hint="default" w:cs="Times New Roman"/>
                      <w:color w:val="auto"/>
                      <w:sz w:val="18"/>
                      <w:szCs w:val="18"/>
                      <w:lang w:val="en-US" w:eastAsia="zh-CN"/>
                    </w:rPr>
                  </w:pPr>
                </w:p>
              </w:tc>
            </w:tr>
          </w:tbl>
          <w:p>
            <w:pPr>
              <w:pStyle w:val="29"/>
              <w:snapToGrid w:val="0"/>
              <w:spacing w:beforeLines="50" w:line="300" w:lineRule="exact"/>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w:t>
            </w:r>
            <w:r>
              <w:rPr>
                <w:rFonts w:hint="eastAsia" w:ascii="Times New Roman" w:hAnsi="Times New Roman" w:cs="Times New Roman"/>
                <w:b/>
                <w:sz w:val="21"/>
                <w:szCs w:val="21"/>
                <w:lang w:val="en-US" w:eastAsia="zh-CN"/>
              </w:rPr>
              <w:t>5</w:t>
            </w:r>
            <w:r>
              <w:rPr>
                <w:rFonts w:hint="default" w:ascii="Times New Roman" w:hAnsi="Times New Roman" w:cs="Times New Roman"/>
                <w:b/>
                <w:sz w:val="21"/>
                <w:szCs w:val="21"/>
              </w:rPr>
              <w:t xml:space="preserve"> 主要原辅材料理化性质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40" w:type="dxa"/>
                <w:left w:w="40" w:type="dxa"/>
                <w:bottom w:w="40" w:type="dxa"/>
                <w:right w:w="40" w:type="dxa"/>
              </w:tblCellMar>
            </w:tblPr>
            <w:tblGrid>
              <w:gridCol w:w="294"/>
              <w:gridCol w:w="1068"/>
              <w:gridCol w:w="4650"/>
              <w:gridCol w:w="806"/>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序号</w:t>
                  </w:r>
                </w:p>
              </w:tc>
              <w:tc>
                <w:tcPr>
                  <w:tcW w:w="643" w:type="pct"/>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原料名称</w:t>
                  </w:r>
                </w:p>
              </w:tc>
              <w:tc>
                <w:tcPr>
                  <w:tcW w:w="2799" w:type="pct"/>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理化特性</w:t>
                  </w:r>
                </w:p>
              </w:tc>
              <w:tc>
                <w:tcPr>
                  <w:tcW w:w="485" w:type="pct"/>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燃烧爆炸性</w:t>
                  </w:r>
                </w:p>
              </w:tc>
              <w:tc>
                <w:tcPr>
                  <w:tcW w:w="894" w:type="pct"/>
                  <w:vAlign w:val="center"/>
                </w:tcPr>
                <w:p>
                  <w:pPr>
                    <w:widowControl/>
                    <w:spacing w:line="240" w:lineRule="auto"/>
                    <w:jc w:val="center"/>
                    <w:textAlignment w:val="center"/>
                    <w:rPr>
                      <w:rFonts w:hint="default" w:cs="Times New Roman"/>
                      <w:b/>
                      <w:bCs/>
                      <w:color w:val="auto"/>
                      <w:sz w:val="18"/>
                      <w:szCs w:val="18"/>
                      <w:lang w:val="en-US" w:eastAsia="zh-CN"/>
                    </w:rPr>
                  </w:pPr>
                  <w:r>
                    <w:rPr>
                      <w:rFonts w:hint="default" w:cs="Times New Roman"/>
                      <w:b/>
                      <w:bCs/>
                      <w:color w:val="auto"/>
                      <w:sz w:val="18"/>
                      <w:szCs w:val="18"/>
                      <w:lang w:val="en-US" w:eastAsia="zh-CN"/>
                    </w:rPr>
                    <w:t>毒理毒性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1</w:t>
                  </w:r>
                </w:p>
              </w:tc>
              <w:tc>
                <w:tcPr>
                  <w:tcW w:w="643" w:type="pct"/>
                  <w:vAlign w:val="center"/>
                </w:tcPr>
                <w:p>
                  <w:pPr>
                    <w:jc w:val="center"/>
                    <w:rPr>
                      <w:rFonts w:hint="default" w:cs="Times New Roman"/>
                      <w:color w:val="auto"/>
                      <w:sz w:val="18"/>
                      <w:szCs w:val="18"/>
                      <w:lang w:val="en-US" w:eastAsia="zh-CN"/>
                    </w:rPr>
                  </w:pPr>
                  <w:r>
                    <w:rPr>
                      <w:rFonts w:hint="eastAsia"/>
                      <w:bCs/>
                      <w:color w:val="auto"/>
                      <w:sz w:val="18"/>
                      <w:szCs w:val="18"/>
                    </w:rPr>
                    <w:t>PP</w:t>
                  </w:r>
                </w:p>
              </w:tc>
              <w:tc>
                <w:tcPr>
                  <w:tcW w:w="2799" w:type="pct"/>
                  <w:vAlign w:val="center"/>
                </w:tcPr>
                <w:p>
                  <w:pPr>
                    <w:keepNext w:val="0"/>
                    <w:keepLines w:val="0"/>
                    <w:pageBreakBefore w:val="0"/>
                    <w:widowControl w:val="0"/>
                    <w:kinsoku/>
                    <w:wordWrap/>
                    <w:overflowPunct/>
                    <w:topLinePunct w:val="0"/>
                    <w:autoSpaceDE/>
                    <w:autoSpaceDN/>
                    <w:bidi w:val="0"/>
                    <w:ind w:firstLine="0" w:firstLineChars="0"/>
                    <w:jc w:val="center"/>
                    <w:rPr>
                      <w:rFonts w:hint="default" w:cs="Times New Roman"/>
                      <w:color w:val="auto"/>
                      <w:sz w:val="18"/>
                      <w:szCs w:val="18"/>
                      <w:lang w:val="en-US" w:eastAsia="zh-CN"/>
                    </w:rPr>
                  </w:pPr>
                  <w:r>
                    <w:rPr>
                      <w:rFonts w:hint="default" w:ascii="Times New Roman" w:hAnsi="Times New Roman" w:eastAsia="宋体" w:cs="Times New Roman"/>
                      <w:i w:val="0"/>
                      <w:caps w:val="0"/>
                      <w:color w:val="auto"/>
                      <w:spacing w:val="0"/>
                      <w:sz w:val="18"/>
                      <w:szCs w:val="18"/>
                      <w:highlight w:val="none"/>
                      <w:shd w:val="clear" w:color="auto" w:fill="FFFFFF"/>
                      <w:lang w:eastAsia="zh-CN"/>
                    </w:rPr>
                    <w:t>聚丙烯是一种无色、无臭、半透明固体物质。化学式为(C</w:t>
                  </w:r>
                  <w:r>
                    <w:rPr>
                      <w:rFonts w:hint="default" w:ascii="Times New Roman" w:hAnsi="Times New Roman" w:eastAsia="宋体" w:cs="Times New Roman"/>
                      <w:i w:val="0"/>
                      <w:caps w:val="0"/>
                      <w:color w:val="auto"/>
                      <w:spacing w:val="0"/>
                      <w:sz w:val="18"/>
                      <w:szCs w:val="18"/>
                      <w:highlight w:val="none"/>
                      <w:shd w:val="clear" w:color="auto" w:fill="FFFFFF"/>
                      <w:vertAlign w:val="subscript"/>
                      <w:lang w:eastAsia="zh-CN"/>
                    </w:rPr>
                    <w:t>3</w:t>
                  </w:r>
                  <w:r>
                    <w:rPr>
                      <w:rFonts w:hint="default" w:ascii="Times New Roman" w:hAnsi="Times New Roman" w:eastAsia="宋体" w:cs="Times New Roman"/>
                      <w:i w:val="0"/>
                      <w:caps w:val="0"/>
                      <w:color w:val="auto"/>
                      <w:spacing w:val="0"/>
                      <w:sz w:val="18"/>
                      <w:szCs w:val="18"/>
                      <w:highlight w:val="none"/>
                      <w:shd w:val="clear" w:color="auto" w:fill="FFFFFF"/>
                      <w:lang w:eastAsia="zh-CN"/>
                    </w:rPr>
                    <w:t>H</w:t>
                  </w:r>
                  <w:r>
                    <w:rPr>
                      <w:rFonts w:hint="default" w:ascii="Times New Roman" w:hAnsi="Times New Roman" w:eastAsia="宋体" w:cs="Times New Roman"/>
                      <w:i w:val="0"/>
                      <w:caps w:val="0"/>
                      <w:color w:val="auto"/>
                      <w:spacing w:val="0"/>
                      <w:sz w:val="18"/>
                      <w:szCs w:val="18"/>
                      <w:highlight w:val="none"/>
                      <w:shd w:val="clear" w:color="auto" w:fill="FFFFFF"/>
                      <w:vertAlign w:val="subscript"/>
                      <w:lang w:eastAsia="zh-CN"/>
                    </w:rPr>
                    <w:t>6</w:t>
                  </w:r>
                  <w:r>
                    <w:rPr>
                      <w:rFonts w:hint="default" w:ascii="Times New Roman" w:hAnsi="Times New Roman" w:eastAsia="宋体" w:cs="Times New Roman"/>
                      <w:i w:val="0"/>
                      <w:caps w:val="0"/>
                      <w:color w:val="auto"/>
                      <w:spacing w:val="0"/>
                      <w:sz w:val="18"/>
                      <w:szCs w:val="18"/>
                      <w:highlight w:val="none"/>
                      <w:shd w:val="clear" w:color="auto" w:fill="FFFFFF"/>
                      <w:lang w:eastAsia="zh-CN"/>
                    </w:rPr>
                    <w:t>)</w:t>
                  </w:r>
                  <w:r>
                    <w:rPr>
                      <w:rFonts w:hint="default" w:ascii="Times New Roman" w:hAnsi="Times New Roman" w:eastAsia="宋体" w:cs="Times New Roman"/>
                      <w:i w:val="0"/>
                      <w:caps w:val="0"/>
                      <w:color w:val="auto"/>
                      <w:spacing w:val="0"/>
                      <w:sz w:val="18"/>
                      <w:szCs w:val="18"/>
                      <w:highlight w:val="none"/>
                      <w:shd w:val="clear" w:color="auto" w:fill="FFFFFF"/>
                      <w:vertAlign w:val="subscript"/>
                      <w:lang w:val="en-US" w:eastAsia="zh-CN"/>
                    </w:rPr>
                    <w:t>X</w:t>
                  </w:r>
                  <w:r>
                    <w:rPr>
                      <w:rFonts w:hint="default" w:ascii="Times New Roman" w:hAnsi="Times New Roman" w:eastAsia="宋体" w:cs="Times New Roman"/>
                      <w:i w:val="0"/>
                      <w:caps w:val="0"/>
                      <w:color w:val="auto"/>
                      <w:spacing w:val="0"/>
                      <w:sz w:val="18"/>
                      <w:szCs w:val="18"/>
                      <w:highlight w:val="none"/>
                      <w:shd w:val="clear" w:color="auto" w:fill="FFFFFF"/>
                      <w:lang w:eastAsia="zh-CN"/>
                    </w:rPr>
                    <w:t>，密度为0.89～0.91g/cm</w:t>
                  </w:r>
                  <w:r>
                    <w:rPr>
                      <w:rFonts w:hint="default" w:ascii="Times New Roman" w:hAnsi="Times New Roman" w:eastAsia="宋体" w:cs="Times New Roman"/>
                      <w:i w:val="0"/>
                      <w:caps w:val="0"/>
                      <w:color w:val="auto"/>
                      <w:spacing w:val="0"/>
                      <w:sz w:val="18"/>
                      <w:szCs w:val="18"/>
                      <w:highlight w:val="none"/>
                      <w:shd w:val="clear" w:color="auto" w:fill="FFFFFF"/>
                      <w:vertAlign w:val="superscript"/>
                      <w:lang w:eastAsia="zh-CN"/>
                    </w:rPr>
                    <w:t>3</w:t>
                  </w:r>
                  <w:r>
                    <w:rPr>
                      <w:rFonts w:hint="default" w:ascii="Times New Roman" w:hAnsi="Times New Roman" w:eastAsia="宋体" w:cs="Times New Roman"/>
                      <w:i w:val="0"/>
                      <w:caps w:val="0"/>
                      <w:color w:val="auto"/>
                      <w:spacing w:val="0"/>
                      <w:sz w:val="18"/>
                      <w:szCs w:val="18"/>
                      <w:highlight w:val="none"/>
                      <w:shd w:val="clear" w:color="auto" w:fill="FFFFFF"/>
                      <w:lang w:eastAsia="zh-CN"/>
                    </w:rPr>
                    <w:t>，熔点165℃，在155℃左右软化，使用温度范围为-30～140℃ 。在80℃以下能耐酸、碱、盐液及多种有机溶剂的腐蚀，能在高温和氧化作用下分解。</w:t>
                  </w:r>
                </w:p>
              </w:tc>
              <w:tc>
                <w:tcPr>
                  <w:tcW w:w="485" w:type="pc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cs="Times New Roman"/>
                      <w:color w:val="auto"/>
                      <w:sz w:val="18"/>
                      <w:szCs w:val="18"/>
                      <w:lang w:val="en-US" w:eastAsia="zh-CN"/>
                    </w:rPr>
                  </w:pPr>
                  <w:r>
                    <w:rPr>
                      <w:rFonts w:hint="default" w:ascii="Times New Roman" w:hAnsi="Times New Roman" w:eastAsia="宋体" w:cs="Times New Roman"/>
                      <w:i w:val="0"/>
                      <w:caps w:val="0"/>
                      <w:color w:val="auto"/>
                      <w:spacing w:val="0"/>
                      <w:sz w:val="18"/>
                      <w:szCs w:val="18"/>
                      <w:highlight w:val="none"/>
                      <w:shd w:val="clear" w:color="auto" w:fill="FFFFFF"/>
                      <w:lang w:eastAsia="zh-CN"/>
                    </w:rPr>
                    <w:t>可燃</w:t>
                  </w:r>
                </w:p>
              </w:tc>
              <w:tc>
                <w:tcPr>
                  <w:tcW w:w="894" w:type="pct"/>
                  <w:vAlign w:val="center"/>
                </w:tcPr>
                <w:p>
                  <w:pPr>
                    <w:keepNext w:val="0"/>
                    <w:keepLines w:val="0"/>
                    <w:pageBreakBefore w:val="0"/>
                    <w:widowControl w:val="0"/>
                    <w:kinsoku/>
                    <w:wordWrap/>
                    <w:overflowPunct/>
                    <w:topLinePunct w:val="0"/>
                    <w:autoSpaceDE/>
                    <w:autoSpaceDN/>
                    <w:bidi w:val="0"/>
                    <w:ind w:firstLine="0" w:firstLineChars="0"/>
                    <w:jc w:val="center"/>
                    <w:rPr>
                      <w:rFonts w:hint="default" w:cs="Times New Roman"/>
                      <w:color w:val="auto"/>
                      <w:sz w:val="18"/>
                      <w:szCs w:val="18"/>
                      <w:lang w:val="en-US" w:eastAsia="zh-CN"/>
                    </w:rPr>
                  </w:pPr>
                  <w:r>
                    <w:rPr>
                      <w:rFonts w:hint="default" w:ascii="Times New Roman" w:hAnsi="Times New Roman" w:eastAsia="宋体" w:cs="Times New Roman"/>
                      <w:i w:val="0"/>
                      <w:caps w:val="0"/>
                      <w:color w:val="auto"/>
                      <w:spacing w:val="0"/>
                      <w:sz w:val="18"/>
                      <w:szCs w:val="18"/>
                      <w:highlight w:val="none"/>
                      <w:shd w:val="clear" w:color="auto" w:fill="FFFFFF"/>
                      <w:lang w:val="en-US" w:eastAsia="zh-CN"/>
                    </w:rPr>
                    <w:t>LD</w:t>
                  </w:r>
                  <w:r>
                    <w:rPr>
                      <w:rFonts w:hint="default" w:ascii="Times New Roman" w:hAnsi="Times New Roman" w:eastAsia="宋体" w:cs="Times New Roman"/>
                      <w:i w:val="0"/>
                      <w:caps w:val="0"/>
                      <w:color w:val="auto"/>
                      <w:spacing w:val="0"/>
                      <w:sz w:val="18"/>
                      <w:szCs w:val="18"/>
                      <w:highlight w:val="none"/>
                      <w:shd w:val="clear" w:color="auto" w:fill="FFFFFF"/>
                      <w:vertAlign w:val="subscript"/>
                      <w:lang w:val="en-US" w:eastAsia="zh-CN"/>
                    </w:rPr>
                    <w:t>50</w:t>
                  </w:r>
                  <w:r>
                    <w:rPr>
                      <w:rFonts w:hint="default" w:ascii="Times New Roman" w:hAnsi="Times New Roman" w:eastAsia="宋体" w:cs="Times New Roman"/>
                      <w:i w:val="0"/>
                      <w:caps w:val="0"/>
                      <w:color w:val="auto"/>
                      <w:spacing w:val="0"/>
                      <w:sz w:val="18"/>
                      <w:szCs w:val="18"/>
                      <w:highlight w:val="none"/>
                      <w:shd w:val="clear" w:color="auto" w:fill="FFFFFF"/>
                      <w:lang w:val="en-US" w:eastAsia="zh-CN"/>
                    </w:rPr>
                    <w:t>&gt;110g/kg （小鼠经腹腔）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2</w:t>
                  </w:r>
                </w:p>
              </w:tc>
              <w:tc>
                <w:tcPr>
                  <w:tcW w:w="643" w:type="pct"/>
                  <w:vAlign w:val="center"/>
                </w:tcPr>
                <w:p>
                  <w:pPr>
                    <w:jc w:val="center"/>
                    <w:rPr>
                      <w:rFonts w:hint="default" w:cs="Times New Roman"/>
                      <w:color w:val="auto"/>
                      <w:sz w:val="18"/>
                      <w:szCs w:val="18"/>
                      <w:lang w:val="en-US" w:eastAsia="zh-CN"/>
                    </w:rPr>
                  </w:pPr>
                  <w:r>
                    <w:rPr>
                      <w:rFonts w:hint="eastAsia"/>
                      <w:bCs/>
                      <w:color w:val="auto"/>
                      <w:sz w:val="18"/>
                      <w:szCs w:val="18"/>
                    </w:rPr>
                    <w:t>PE</w:t>
                  </w:r>
                </w:p>
              </w:tc>
              <w:tc>
                <w:tcPr>
                  <w:tcW w:w="2799" w:type="pct"/>
                  <w:vAlign w:val="center"/>
                </w:tcPr>
                <w:p>
                  <w:pPr>
                    <w:pStyle w:val="29"/>
                    <w:adjustRightInd w:val="0"/>
                    <w:snapToGrid w:val="0"/>
                    <w:spacing w:line="240" w:lineRule="auto"/>
                    <w:ind w:left="0" w:leftChars="0" w:firstLine="0" w:firstLineChars="0"/>
                    <w:jc w:val="both"/>
                    <w:rPr>
                      <w:rFonts w:hint="default" w:cs="Times New Roman"/>
                      <w:color w:val="auto"/>
                      <w:sz w:val="18"/>
                      <w:szCs w:val="18"/>
                      <w:lang w:val="en-US" w:eastAsia="zh-CN"/>
                    </w:rPr>
                  </w:pPr>
                  <w:r>
                    <w:rPr>
                      <w:rFonts w:hint="default" w:ascii="Times New Roman" w:hAnsi="Times New Roman" w:eastAsia="宋体" w:cs="Times New Roman"/>
                      <w:sz w:val="18"/>
                      <w:szCs w:val="18"/>
                      <w:lang w:val="en-US" w:eastAsia="zh-CN"/>
                    </w:rPr>
                    <w:t>分子式</w:t>
                  </w:r>
                  <w:r>
                    <w:rPr>
                      <w:rFonts w:hint="eastAsia" w:ascii="Times New Roman" w:hAnsi="Times New Roman" w:cs="Times New Roman"/>
                      <w:sz w:val="18"/>
                      <w:szCs w:val="18"/>
                      <w:lang w:val="en-US" w:eastAsia="zh-CN"/>
                    </w:rPr>
                    <w:t>为</w:t>
                  </w:r>
                  <w:r>
                    <w:rPr>
                      <w:rFonts w:hint="default" w:ascii="Times New Roman" w:hAnsi="Times New Roman" w:eastAsia="宋体" w:cs="Times New Roman"/>
                      <w:sz w:val="18"/>
                      <w:szCs w:val="18"/>
                      <w:lang w:val="en-US" w:eastAsia="zh-CN"/>
                    </w:rPr>
                    <w:t>(C</w:t>
                  </w:r>
                  <w:r>
                    <w:rPr>
                      <w:rFonts w:hint="default" w:ascii="Times New Roman" w:hAnsi="Times New Roman" w:eastAsia="宋体" w:cs="Times New Roman"/>
                      <w:sz w:val="18"/>
                      <w:szCs w:val="18"/>
                      <w:vertAlign w:val="subscript"/>
                      <w:lang w:val="en-US" w:eastAsia="zh-CN"/>
                    </w:rPr>
                    <w:t>2</w:t>
                  </w:r>
                  <w:r>
                    <w:rPr>
                      <w:rFonts w:hint="default" w:ascii="Times New Roman" w:hAnsi="Times New Roman" w:eastAsia="宋体" w:cs="Times New Roman"/>
                      <w:sz w:val="18"/>
                      <w:szCs w:val="18"/>
                      <w:lang w:val="en-US" w:eastAsia="zh-CN"/>
                    </w:rPr>
                    <w:t>H</w:t>
                  </w:r>
                  <w:r>
                    <w:rPr>
                      <w:rFonts w:hint="default" w:ascii="Times New Roman" w:hAnsi="Times New Roman" w:eastAsia="宋体" w:cs="Times New Roman"/>
                      <w:sz w:val="18"/>
                      <w:szCs w:val="18"/>
                      <w:vertAlign w:val="subscript"/>
                      <w:lang w:val="en-US" w:eastAsia="zh-CN"/>
                    </w:rPr>
                    <w:t>4</w:t>
                  </w:r>
                  <w:r>
                    <w:rPr>
                      <w:rFonts w:hint="default" w:ascii="Times New Roman" w:hAnsi="Times New Roman" w:eastAsia="宋体" w:cs="Times New Roman"/>
                      <w:sz w:val="18"/>
                      <w:szCs w:val="18"/>
                      <w:lang w:val="en-US" w:eastAsia="zh-CN"/>
                    </w:rPr>
                    <w:t>)n</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eastAsia="zh-CN"/>
                    </w:rPr>
                    <w:t>是五大合成树脂之一，密度</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eastAsia="zh-CN"/>
                    </w:rPr>
                    <w:t>0.94~0.96g/cm</w:t>
                  </w:r>
                  <w:r>
                    <w:rPr>
                      <w:rFonts w:hint="default" w:ascii="Times New Roman" w:hAnsi="Times New Roman" w:eastAsia="宋体" w:cs="Times New Roman"/>
                      <w:sz w:val="18"/>
                      <w:szCs w:val="18"/>
                      <w:vertAlign w:val="superscript"/>
                      <w:lang w:val="en-US" w:eastAsia="zh-CN"/>
                    </w:rPr>
                    <w:t>3</w:t>
                  </w:r>
                  <w:r>
                    <w:rPr>
                      <w:rFonts w:hint="default" w:ascii="Times New Roman" w:hAnsi="Times New Roman" w:eastAsia="宋体" w:cs="Times New Roman"/>
                      <w:sz w:val="18"/>
                      <w:szCs w:val="18"/>
                      <w:lang w:val="en-US" w:eastAsia="zh-CN"/>
                    </w:rPr>
                    <w:t>，成型收缩率</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eastAsia="zh-CN"/>
                    </w:rPr>
                    <w:t>1.5~3.6%，成型温度</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eastAsia="zh-CN"/>
                    </w:rPr>
                    <w:t>140~220℃，熔点</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eastAsia="zh-CN"/>
                    </w:rPr>
                    <w:t>140ºC，分解温度</w:t>
                  </w:r>
                  <w:r>
                    <w:rPr>
                      <w:rFonts w:hint="eastAsia" w:ascii="Times New Roman" w:hAnsi="Times New Roman" w:cs="Times New Roman"/>
                      <w:sz w:val="18"/>
                      <w:szCs w:val="18"/>
                      <w:lang w:val="en-US" w:eastAsia="zh-CN"/>
                    </w:rPr>
                    <w:t>：</w:t>
                  </w:r>
                  <w:r>
                    <w:rPr>
                      <w:rFonts w:hint="default" w:ascii="Times New Roman" w:hAnsi="Times New Roman" w:eastAsia="宋体" w:cs="Times New Roman"/>
                      <w:sz w:val="18"/>
                      <w:szCs w:val="18"/>
                      <w:lang w:val="en-US" w:eastAsia="zh-CN"/>
                    </w:rPr>
                    <w:t>300℃以上，不溶于水，常温下难溶于有机溶剂。</w:t>
                  </w:r>
                </w:p>
              </w:tc>
              <w:tc>
                <w:tcPr>
                  <w:tcW w:w="485" w:type="pct"/>
                  <w:vAlign w:val="center"/>
                </w:tcPr>
                <w:p>
                  <w:pPr>
                    <w:pStyle w:val="29"/>
                    <w:adjustRightInd w:val="0"/>
                    <w:snapToGrid w:val="0"/>
                    <w:spacing w:line="240" w:lineRule="auto"/>
                    <w:ind w:left="0" w:leftChars="0" w:firstLine="0" w:firstLineChars="0"/>
                    <w:jc w:val="both"/>
                    <w:rPr>
                      <w:rFonts w:hint="default" w:cs="Times New Roman"/>
                      <w:color w:val="auto"/>
                      <w:sz w:val="18"/>
                      <w:szCs w:val="18"/>
                      <w:lang w:val="en-US" w:eastAsia="zh-CN"/>
                    </w:rPr>
                  </w:pPr>
                  <w:r>
                    <w:rPr>
                      <w:rFonts w:hint="default" w:ascii="Times New Roman" w:hAnsi="Times New Roman" w:cs="Times New Roman"/>
                      <w:sz w:val="18"/>
                      <w:szCs w:val="18"/>
                    </w:rPr>
                    <w:t>可燃</w:t>
                  </w:r>
                </w:p>
              </w:tc>
              <w:tc>
                <w:tcPr>
                  <w:tcW w:w="894" w:type="pct"/>
                  <w:vAlign w:val="center"/>
                </w:tcPr>
                <w:p>
                  <w:pPr>
                    <w:pStyle w:val="29"/>
                    <w:adjustRightInd w:val="0"/>
                    <w:snapToGrid w:val="0"/>
                    <w:spacing w:line="240" w:lineRule="auto"/>
                    <w:ind w:left="0" w:leftChars="0" w:firstLine="0" w:firstLineChars="0"/>
                    <w:jc w:val="center"/>
                    <w:rPr>
                      <w:rFonts w:hint="default" w:cs="Times New Roman"/>
                      <w:color w:val="auto"/>
                      <w:sz w:val="18"/>
                      <w:szCs w:val="18"/>
                      <w:lang w:val="en-US" w:eastAsia="zh-CN"/>
                    </w:rPr>
                  </w:pPr>
                  <w:r>
                    <w:rPr>
                      <w:rFonts w:hint="default" w:ascii="Times New Roman" w:hAnsi="Times New Roman" w:eastAsia="宋体" w:cs="Times New Roman"/>
                      <w:sz w:val="18"/>
                      <w:szCs w:val="18"/>
                      <w:lang w:eastAsia="zh-CN"/>
                    </w:rPr>
                    <w:t>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3</w:t>
                  </w:r>
                </w:p>
              </w:tc>
              <w:tc>
                <w:tcPr>
                  <w:tcW w:w="643" w:type="pct"/>
                  <w:vAlign w:val="center"/>
                </w:tcPr>
                <w:p>
                  <w:pPr>
                    <w:jc w:val="center"/>
                    <w:rPr>
                      <w:rFonts w:hint="default" w:cs="Times New Roman"/>
                      <w:color w:val="auto"/>
                      <w:sz w:val="18"/>
                      <w:szCs w:val="18"/>
                      <w:lang w:val="en-US" w:eastAsia="zh-CN"/>
                    </w:rPr>
                  </w:pPr>
                  <w:r>
                    <w:rPr>
                      <w:rFonts w:hint="default" w:ascii="Times New Roman" w:hAnsi="Times New Roman" w:eastAsia="宋体" w:cs="Times New Roman"/>
                      <w:i w:val="0"/>
                      <w:caps w:val="0"/>
                      <w:color w:val="auto"/>
                      <w:spacing w:val="0"/>
                      <w:sz w:val="18"/>
                      <w:szCs w:val="18"/>
                      <w:highlight w:val="none"/>
                      <w:shd w:val="clear" w:color="auto" w:fill="FFFFFF"/>
                      <w:vertAlign w:val="baseline"/>
                      <w:lang w:val="en-US" w:eastAsia="zh-CN"/>
                    </w:rPr>
                    <w:t>聚酰胺</w:t>
                  </w:r>
                </w:p>
              </w:tc>
              <w:tc>
                <w:tcPr>
                  <w:tcW w:w="2799" w:type="pct"/>
                  <w:vAlign w:val="center"/>
                </w:tcPr>
                <w:p>
                  <w:pPr>
                    <w:keepNext w:val="0"/>
                    <w:keepLines w:val="0"/>
                    <w:pageBreakBefore w:val="0"/>
                    <w:widowControl w:val="0"/>
                    <w:kinsoku/>
                    <w:wordWrap/>
                    <w:overflowPunct/>
                    <w:topLinePunct w:val="0"/>
                    <w:autoSpaceDE/>
                    <w:autoSpaceDN/>
                    <w:bidi w:val="0"/>
                    <w:ind w:firstLine="0" w:firstLineChars="0"/>
                    <w:jc w:val="center"/>
                    <w:rPr>
                      <w:rFonts w:hint="default" w:cs="Times New Roman"/>
                      <w:color w:val="auto"/>
                      <w:sz w:val="18"/>
                      <w:szCs w:val="18"/>
                      <w:lang w:val="en-US" w:eastAsia="zh-CN"/>
                    </w:rPr>
                  </w:pPr>
                  <w:r>
                    <w:rPr>
                      <w:rFonts w:hint="default" w:ascii="Times New Roman" w:hAnsi="Times New Roman" w:eastAsia="宋体" w:cs="Times New Roman"/>
                      <w:i w:val="0"/>
                      <w:caps w:val="0"/>
                      <w:color w:val="auto"/>
                      <w:spacing w:val="0"/>
                      <w:sz w:val="18"/>
                      <w:szCs w:val="18"/>
                      <w:highlight w:val="none"/>
                      <w:shd w:val="clear" w:color="auto" w:fill="FFFFFF"/>
                      <w:vertAlign w:val="baseline"/>
                      <w:lang w:val="en-US" w:eastAsia="zh-CN"/>
                    </w:rPr>
                    <w:t>聚酰胺俗称尼龙</w:t>
                  </w:r>
                  <w:r>
                    <w:rPr>
                      <w:rFonts w:hint="default" w:ascii="Times New Roman" w:hAnsi="Times New Roman" w:eastAsia="宋体" w:cs="Times New Roman"/>
                      <w:i w:val="0"/>
                      <w:caps w:val="0"/>
                      <w:color w:val="auto"/>
                      <w:spacing w:val="0"/>
                      <w:sz w:val="18"/>
                      <w:szCs w:val="18"/>
                      <w:highlight w:val="none"/>
                      <w:shd w:val="clear" w:color="auto" w:fill="FFFFFF"/>
                    </w:rPr>
                    <w:t>（</w:t>
                  </w:r>
                  <w:r>
                    <w:rPr>
                      <w:rFonts w:hint="default" w:ascii="Times New Roman" w:hAnsi="Times New Roman" w:eastAsia="宋体" w:cs="Times New Roman"/>
                      <w:i w:val="0"/>
                      <w:caps w:val="0"/>
                      <w:color w:val="auto"/>
                      <w:spacing w:val="0"/>
                      <w:sz w:val="18"/>
                      <w:szCs w:val="18"/>
                      <w:highlight w:val="none"/>
                      <w:shd w:val="clear" w:color="auto" w:fill="FFFFFF"/>
                      <w:lang w:val="en-US" w:eastAsia="zh-CN"/>
                    </w:rPr>
                    <w:t>英文</w:t>
                  </w:r>
                  <w:r>
                    <w:rPr>
                      <w:rFonts w:hint="default" w:ascii="Times New Roman" w:hAnsi="Times New Roman" w:eastAsia="宋体" w:cs="Times New Roman"/>
                      <w:i w:val="0"/>
                      <w:caps w:val="0"/>
                      <w:color w:val="auto"/>
                      <w:spacing w:val="0"/>
                      <w:sz w:val="18"/>
                      <w:szCs w:val="18"/>
                      <w:highlight w:val="none"/>
                      <w:shd w:val="clear" w:color="auto" w:fill="FFFFFF"/>
                    </w:rPr>
                    <w:t>简称</w:t>
                  </w:r>
                  <w:r>
                    <w:rPr>
                      <w:rFonts w:hint="default" w:ascii="Times New Roman" w:hAnsi="Times New Roman" w:eastAsia="宋体" w:cs="Times New Roman"/>
                      <w:i w:val="0"/>
                      <w:caps w:val="0"/>
                      <w:color w:val="auto"/>
                      <w:spacing w:val="0"/>
                      <w:sz w:val="18"/>
                      <w:szCs w:val="18"/>
                      <w:highlight w:val="none"/>
                      <w:shd w:val="clear" w:color="auto" w:fill="FFFFFF"/>
                      <w:lang w:val="en-US" w:eastAsia="zh-CN"/>
                    </w:rPr>
                    <w:t>PA）</w:t>
                  </w:r>
                  <w:r>
                    <w:rPr>
                      <w:rFonts w:hint="default" w:ascii="Times New Roman" w:hAnsi="Times New Roman" w:eastAsia="宋体" w:cs="Times New Roman"/>
                      <w:i w:val="0"/>
                      <w:caps w:val="0"/>
                      <w:color w:val="auto"/>
                      <w:spacing w:val="0"/>
                      <w:sz w:val="18"/>
                      <w:szCs w:val="18"/>
                      <w:highlight w:val="none"/>
                      <w:shd w:val="clear" w:color="auto" w:fill="FFFFFF"/>
                      <w:vertAlign w:val="baseline"/>
                      <w:lang w:val="en-US" w:eastAsia="zh-CN"/>
                    </w:rPr>
                    <w:t>是半透明或不透明乳白色结晶形聚合物，热塑性、轻质、韧劲好、耐化学品和耐久性好，密度为1.13</w:t>
                  </w:r>
                  <w:r>
                    <w:rPr>
                      <w:rFonts w:hint="default" w:ascii="Times New Roman" w:hAnsi="Times New Roman" w:eastAsia="宋体" w:cs="Times New Roman"/>
                      <w:i w:val="0"/>
                      <w:caps w:val="0"/>
                      <w:color w:val="auto"/>
                      <w:spacing w:val="0"/>
                      <w:sz w:val="18"/>
                      <w:szCs w:val="18"/>
                      <w:highlight w:val="none"/>
                      <w:shd w:val="clear" w:color="auto" w:fill="FFFFFF"/>
                    </w:rPr>
                    <w:t>g/cm</w:t>
                  </w:r>
                  <w:r>
                    <w:rPr>
                      <w:rFonts w:hint="default" w:ascii="Times New Roman" w:hAnsi="Times New Roman" w:eastAsia="宋体" w:cs="Times New Roman"/>
                      <w:i w:val="0"/>
                      <w:caps w:val="0"/>
                      <w:color w:val="auto"/>
                      <w:spacing w:val="0"/>
                      <w:sz w:val="18"/>
                      <w:szCs w:val="18"/>
                      <w:highlight w:val="none"/>
                      <w:shd w:val="clear" w:color="auto" w:fill="FFFFFF"/>
                      <w:vertAlign w:val="superscript"/>
                    </w:rPr>
                    <w:t>3</w:t>
                  </w:r>
                  <w:r>
                    <w:rPr>
                      <w:rFonts w:hint="default" w:ascii="Times New Roman" w:hAnsi="Times New Roman" w:eastAsia="宋体" w:cs="Times New Roman"/>
                      <w:i w:val="0"/>
                      <w:caps w:val="0"/>
                      <w:color w:val="auto"/>
                      <w:spacing w:val="0"/>
                      <w:sz w:val="18"/>
                      <w:szCs w:val="18"/>
                      <w:highlight w:val="none"/>
                      <w:shd w:val="clear" w:color="auto" w:fill="FFFFFF"/>
                      <w:vertAlign w:val="baseline"/>
                      <w:lang w:eastAsia="zh-CN"/>
                    </w:rPr>
                    <w:t>，</w:t>
                  </w:r>
                  <w:r>
                    <w:rPr>
                      <w:rFonts w:hint="default" w:ascii="Times New Roman" w:hAnsi="Times New Roman" w:eastAsia="宋体" w:cs="Times New Roman"/>
                      <w:i w:val="0"/>
                      <w:caps w:val="0"/>
                      <w:color w:val="auto"/>
                      <w:spacing w:val="0"/>
                      <w:sz w:val="18"/>
                      <w:szCs w:val="18"/>
                      <w:highlight w:val="none"/>
                      <w:shd w:val="clear" w:color="auto" w:fill="FFFFFF"/>
                      <w:vertAlign w:val="baseline"/>
                      <w:lang w:val="en-US" w:eastAsia="zh-CN"/>
                    </w:rPr>
                    <w:t>熔点为215℃，热分解温度＞300℃，具有良好的耐磨性、自润滑性和耐溶剂型。</w:t>
                  </w:r>
                </w:p>
              </w:tc>
              <w:tc>
                <w:tcPr>
                  <w:tcW w:w="485" w:type="pc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可燃</w:t>
                  </w:r>
                </w:p>
              </w:tc>
              <w:tc>
                <w:tcPr>
                  <w:tcW w:w="894" w:type="pc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rPr>
                      <w:rFonts w:hint="default" w:cs="Times New Roman"/>
                      <w:color w:val="auto"/>
                      <w:sz w:val="18"/>
                      <w:szCs w:val="18"/>
                      <w:lang w:val="en-US" w:eastAsia="zh-CN"/>
                    </w:rPr>
                  </w:pPr>
                  <w:r>
                    <w:rPr>
                      <w:rFonts w:hint="default" w:ascii="Times New Roman" w:hAnsi="Times New Roman" w:eastAsia="宋体" w:cs="Times New Roman"/>
                      <w:color w:val="auto"/>
                      <w:sz w:val="18"/>
                      <w:szCs w:val="18"/>
                      <w:highlight w:val="none"/>
                      <w:lang w:val="en-US" w:eastAsia="zh-CN"/>
                    </w:rPr>
                    <w:t>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4</w:t>
                  </w:r>
                </w:p>
              </w:tc>
              <w:tc>
                <w:tcPr>
                  <w:tcW w:w="643"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短中期气化性防锈剂</w:t>
                  </w:r>
                </w:p>
              </w:tc>
              <w:tc>
                <w:tcPr>
                  <w:tcW w:w="2799" w:type="pct"/>
                  <w:vAlign w:val="center"/>
                </w:tcPr>
                <w:p>
                  <w:pPr>
                    <w:widowControl/>
                    <w:spacing w:line="240" w:lineRule="auto"/>
                    <w:jc w:val="center"/>
                    <w:textAlignment w:val="center"/>
                    <w:rPr>
                      <w:rFonts w:hint="default"/>
                      <w:sz w:val="18"/>
                      <w:szCs w:val="18"/>
                      <w:lang w:val="en-US" w:eastAsia="zh-CN"/>
                    </w:rPr>
                  </w:pPr>
                  <w:r>
                    <w:rPr>
                      <w:rFonts w:hint="eastAsia"/>
                      <w:sz w:val="18"/>
                      <w:szCs w:val="18"/>
                      <w:lang w:val="en-US" w:eastAsia="zh-CN"/>
                    </w:rPr>
                    <w:t>无色透明液体，密度：0.69，不溶于水，可溶于乙醚、酒精、</w:t>
                  </w:r>
                  <w:r>
                    <w:rPr>
                      <w:rFonts w:hint="eastAsia" w:cs="Times New Roman"/>
                      <w:color w:val="auto"/>
                      <w:sz w:val="18"/>
                      <w:szCs w:val="18"/>
                      <w:lang w:val="en-US" w:eastAsia="zh-CN"/>
                    </w:rPr>
                    <w:t>丙酮、苯之类。</w:t>
                  </w:r>
                </w:p>
              </w:tc>
              <w:tc>
                <w:tcPr>
                  <w:tcW w:w="485"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可燃</w:t>
                  </w:r>
                </w:p>
              </w:tc>
              <w:tc>
                <w:tcPr>
                  <w:tcW w:w="894"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5</w:t>
                  </w:r>
                </w:p>
              </w:tc>
              <w:tc>
                <w:tcPr>
                  <w:tcW w:w="643" w:type="pct"/>
                  <w:vAlign w:val="center"/>
                </w:tcPr>
                <w:p>
                  <w:pPr>
                    <w:snapToGrid w:val="0"/>
                    <w:jc w:val="center"/>
                    <w:rPr>
                      <w:rFonts w:hint="default" w:cs="Times New Roman"/>
                      <w:color w:val="auto"/>
                      <w:sz w:val="18"/>
                      <w:szCs w:val="18"/>
                      <w:lang w:val="en-US" w:eastAsia="zh-CN"/>
                    </w:rPr>
                  </w:pPr>
                  <w:r>
                    <w:rPr>
                      <w:rFonts w:hint="eastAsia" w:cs="Times New Roman"/>
                      <w:b w:val="0"/>
                      <w:bCs w:val="0"/>
                      <w:color w:val="000000"/>
                      <w:sz w:val="18"/>
                      <w:szCs w:val="18"/>
                      <w:lang w:val="en-US" w:eastAsia="zh-CN"/>
                    </w:rPr>
                    <w:t>水性油墨</w:t>
                  </w:r>
                  <w:r>
                    <w:rPr>
                      <w:rFonts w:hint="eastAsia" w:ascii="Times New Roman" w:hAnsi="Times New Roman" w:eastAsia="宋体" w:cs="Times New Roman"/>
                      <w:b w:val="0"/>
                      <w:bCs w:val="0"/>
                      <w:color w:val="000000"/>
                      <w:sz w:val="18"/>
                      <w:szCs w:val="18"/>
                      <w:lang w:val="en-US" w:eastAsia="zh-CN"/>
                    </w:rPr>
                    <w:t xml:space="preserve"> </w:t>
                  </w:r>
                </w:p>
              </w:tc>
              <w:tc>
                <w:tcPr>
                  <w:tcW w:w="2799" w:type="pct"/>
                  <w:vAlign w:val="center"/>
                </w:tcPr>
                <w:p>
                  <w:pPr>
                    <w:keepNext w:val="0"/>
                    <w:keepLines w:val="0"/>
                    <w:widowControl/>
                    <w:suppressLineNumbers w:val="0"/>
                    <w:jc w:val="center"/>
                    <w:rPr>
                      <w:rFonts w:hint="default" w:cs="Times New Roman"/>
                      <w:color w:val="auto"/>
                      <w:sz w:val="18"/>
                      <w:szCs w:val="18"/>
                      <w:lang w:val="en-US" w:eastAsia="zh-CN"/>
                    </w:rPr>
                  </w:pPr>
                  <w:r>
                    <w:rPr>
                      <w:rFonts w:hint="eastAsia" w:ascii="Times New Roman" w:hAnsi="Times New Roman" w:eastAsia="宋体" w:cs="Times New Roman"/>
                      <w:b w:val="0"/>
                      <w:bCs w:val="0"/>
                      <w:color w:val="000000"/>
                      <w:sz w:val="18"/>
                      <w:szCs w:val="18"/>
                      <w:lang w:val="en-US" w:eastAsia="zh-CN"/>
                    </w:rPr>
                    <w:t>液体，微</w:t>
                  </w:r>
                  <w:r>
                    <w:rPr>
                      <w:rFonts w:hint="eastAsia" w:cs="Times New Roman"/>
                      <w:b w:val="0"/>
                      <w:bCs w:val="0"/>
                      <w:color w:val="000000"/>
                      <w:sz w:val="18"/>
                      <w:szCs w:val="18"/>
                      <w:lang w:val="en-US" w:eastAsia="zh-CN"/>
                    </w:rPr>
                    <w:t>香</w:t>
                  </w:r>
                  <w:r>
                    <w:rPr>
                      <w:rFonts w:hint="eastAsia" w:ascii="Times New Roman" w:hAnsi="Times New Roman" w:eastAsia="宋体" w:cs="Times New Roman"/>
                      <w:b w:val="0"/>
                      <w:bCs w:val="0"/>
                      <w:color w:val="000000"/>
                      <w:sz w:val="18"/>
                      <w:szCs w:val="18"/>
                      <w:lang w:val="en-US" w:eastAsia="zh-CN"/>
                    </w:rPr>
                    <w:t>味，</w:t>
                  </w:r>
                  <w:r>
                    <w:rPr>
                      <w:rFonts w:hint="default" w:ascii="Times New Roman" w:hAnsi="Times New Roman" w:eastAsia="宋体" w:cs="Times New Roman"/>
                      <w:b w:val="0"/>
                      <w:bCs w:val="0"/>
                      <w:color w:val="000000"/>
                      <w:sz w:val="18"/>
                      <w:szCs w:val="18"/>
                      <w:lang w:val="en-US" w:eastAsia="zh-CN"/>
                    </w:rPr>
                    <w:t>密度（g/cm</w:t>
                  </w:r>
                  <w:r>
                    <w:rPr>
                      <w:rFonts w:hint="default" w:ascii="Times New Roman" w:hAnsi="Times New Roman" w:eastAsia="宋体" w:cs="Times New Roman"/>
                      <w:b w:val="0"/>
                      <w:bCs w:val="0"/>
                      <w:color w:val="000000"/>
                      <w:sz w:val="18"/>
                      <w:szCs w:val="18"/>
                      <w:vertAlign w:val="superscript"/>
                      <w:lang w:val="en-US" w:eastAsia="zh-CN"/>
                    </w:rPr>
                    <w:t>3</w:t>
                  </w:r>
                  <w:r>
                    <w:rPr>
                      <w:rFonts w:hint="default" w:ascii="Times New Roman" w:hAnsi="Times New Roman" w:eastAsia="宋体" w:cs="Times New Roman"/>
                      <w:b w:val="0"/>
                      <w:bCs w:val="0"/>
                      <w:color w:val="000000"/>
                      <w:sz w:val="18"/>
                      <w:szCs w:val="18"/>
                      <w:lang w:val="en-US" w:eastAsia="zh-CN"/>
                    </w:rPr>
                    <w:t>，2</w:t>
                  </w:r>
                  <w:r>
                    <w:rPr>
                      <w:rFonts w:hint="eastAsia" w:ascii="Times New Roman" w:hAnsi="Times New Roman" w:eastAsia="宋体" w:cs="Times New Roman"/>
                      <w:b w:val="0"/>
                      <w:bCs w:val="0"/>
                      <w:color w:val="000000"/>
                      <w:sz w:val="18"/>
                      <w:szCs w:val="18"/>
                      <w:lang w:val="en-US" w:eastAsia="zh-CN"/>
                    </w:rPr>
                    <w:t>0</w:t>
                  </w:r>
                  <w:r>
                    <w:rPr>
                      <w:rFonts w:hint="default" w:ascii="Times New Roman" w:hAnsi="Times New Roman" w:eastAsia="宋体" w:cs="Times New Roman"/>
                      <w:b w:val="0"/>
                      <w:bCs w:val="0"/>
                      <w:color w:val="000000"/>
                      <w:sz w:val="18"/>
                      <w:szCs w:val="18"/>
                      <w:lang w:val="en-US" w:eastAsia="zh-CN"/>
                    </w:rPr>
                    <w:t>℃）：</w:t>
                  </w:r>
                  <w:r>
                    <w:rPr>
                      <w:rFonts w:hint="eastAsia" w:ascii="Times New Roman" w:hAnsi="Times New Roman" w:eastAsia="宋体" w:cs="Times New Roman"/>
                      <w:b w:val="0"/>
                      <w:bCs w:val="0"/>
                      <w:color w:val="000000"/>
                      <w:sz w:val="18"/>
                      <w:szCs w:val="18"/>
                      <w:lang w:val="en-US" w:eastAsia="zh-CN"/>
                    </w:rPr>
                    <w:t>1</w:t>
                  </w:r>
                  <w:r>
                    <w:rPr>
                      <w:rFonts w:hint="eastAsia" w:cs="Times New Roman"/>
                      <w:b w:val="0"/>
                      <w:bCs w:val="0"/>
                      <w:color w:val="000000"/>
                      <w:sz w:val="18"/>
                      <w:szCs w:val="18"/>
                      <w:lang w:val="en-US" w:eastAsia="zh-CN"/>
                    </w:rPr>
                    <w:t>-1</w:t>
                  </w:r>
                  <w:r>
                    <w:rPr>
                      <w:rFonts w:hint="eastAsia" w:ascii="Times New Roman" w:hAnsi="Times New Roman" w:eastAsia="宋体" w:cs="Times New Roman"/>
                      <w:b w:val="0"/>
                      <w:bCs w:val="0"/>
                      <w:color w:val="000000"/>
                      <w:sz w:val="18"/>
                      <w:szCs w:val="18"/>
                      <w:lang w:val="en-US" w:eastAsia="zh-CN"/>
                    </w:rPr>
                    <w:t>.1</w:t>
                  </w:r>
                  <w:r>
                    <w:rPr>
                      <w:rFonts w:hint="default" w:ascii="Times New Roman" w:hAnsi="Times New Roman" w:eastAsia="宋体" w:cs="Times New Roman"/>
                      <w:b w:val="0"/>
                      <w:bCs w:val="0"/>
                      <w:color w:val="000000"/>
                      <w:sz w:val="18"/>
                      <w:szCs w:val="18"/>
                      <w:lang w:val="en-US" w:eastAsia="zh-CN"/>
                    </w:rPr>
                    <w:t>，</w:t>
                  </w:r>
                  <w:r>
                    <w:rPr>
                      <w:rFonts w:hint="eastAsia" w:cs="Times New Roman"/>
                      <w:b w:val="0"/>
                      <w:bCs w:val="0"/>
                      <w:color w:val="000000"/>
                      <w:sz w:val="18"/>
                      <w:szCs w:val="18"/>
                      <w:lang w:val="en-US" w:eastAsia="zh-CN"/>
                    </w:rPr>
                    <w:t>pH：8-9.5</w:t>
                  </w:r>
                  <w:r>
                    <w:rPr>
                      <w:rFonts w:hint="default" w:ascii="Times New Roman" w:hAnsi="Times New Roman" w:eastAsia="宋体" w:cs="Times New Roman"/>
                      <w:b w:val="0"/>
                      <w:bCs w:val="0"/>
                      <w:color w:val="000000"/>
                      <w:sz w:val="18"/>
                      <w:szCs w:val="18"/>
                      <w:lang w:val="en-US" w:eastAsia="zh-CN"/>
                    </w:rPr>
                    <w:t>，</w:t>
                  </w:r>
                  <w:r>
                    <w:rPr>
                      <w:rFonts w:hint="eastAsia" w:ascii="Times New Roman" w:hAnsi="Times New Roman" w:eastAsia="宋体" w:cs="Times New Roman"/>
                      <w:b w:val="0"/>
                      <w:bCs w:val="0"/>
                      <w:color w:val="000000"/>
                      <w:sz w:val="18"/>
                      <w:szCs w:val="18"/>
                      <w:lang w:val="en-US" w:eastAsia="zh-CN"/>
                    </w:rPr>
                    <w:t>可溶于水</w:t>
                  </w:r>
                </w:p>
              </w:tc>
              <w:tc>
                <w:tcPr>
                  <w:tcW w:w="485" w:type="pct"/>
                  <w:vAlign w:val="center"/>
                </w:tcPr>
                <w:p>
                  <w:pPr>
                    <w:keepNext w:val="0"/>
                    <w:keepLines w:val="0"/>
                    <w:widowControl/>
                    <w:suppressLineNumbers w:val="0"/>
                    <w:jc w:val="center"/>
                    <w:rPr>
                      <w:rFonts w:hint="default" w:cs="Times New Roman"/>
                      <w:color w:val="auto"/>
                      <w:sz w:val="18"/>
                      <w:szCs w:val="18"/>
                      <w:lang w:val="en-US" w:eastAsia="zh-CN"/>
                    </w:rPr>
                  </w:pPr>
                  <w:r>
                    <w:rPr>
                      <w:rFonts w:hint="eastAsia" w:ascii="Times New Roman" w:hAnsi="Times New Roman" w:eastAsia="宋体" w:cs="Times New Roman"/>
                      <w:b w:val="0"/>
                      <w:bCs w:val="0"/>
                      <w:color w:val="000000"/>
                      <w:sz w:val="18"/>
                      <w:szCs w:val="18"/>
                      <w:lang w:val="en-US" w:eastAsia="zh-CN"/>
                    </w:rPr>
                    <w:t>不燃</w:t>
                  </w:r>
                </w:p>
              </w:tc>
              <w:tc>
                <w:tcPr>
                  <w:tcW w:w="894"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6</w:t>
                  </w:r>
                </w:p>
              </w:tc>
              <w:tc>
                <w:tcPr>
                  <w:tcW w:w="643" w:type="pct"/>
                  <w:vAlign w:val="center"/>
                </w:tcPr>
                <w:p>
                  <w:pPr>
                    <w:widowControl/>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Wd-40 防锈油</w:t>
                  </w:r>
                </w:p>
              </w:tc>
              <w:tc>
                <w:tcPr>
                  <w:tcW w:w="2799"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黄褐色透明液体，熔点：&lt;-20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，沸点：290-330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，相对密度（水=1）：0.85，相对蒸汽密度（空气=1）：</w:t>
                  </w:r>
                  <w:r>
                    <w:rPr>
                      <w:rFonts w:hint="default" w:ascii="Times New Roman" w:hAnsi="Times New Roman" w:cs="Times New Roman"/>
                      <w:color w:val="auto"/>
                      <w:sz w:val="18"/>
                      <w:szCs w:val="18"/>
                      <w:lang w:val="en-US" w:eastAsia="zh-CN"/>
                    </w:rPr>
                    <w:t>&gt;</w:t>
                  </w:r>
                  <w:r>
                    <w:rPr>
                      <w:rFonts w:hint="eastAsia" w:cs="Times New Roman"/>
                      <w:color w:val="auto"/>
                      <w:sz w:val="18"/>
                      <w:szCs w:val="18"/>
                      <w:lang w:val="en-US" w:eastAsia="zh-CN"/>
                    </w:rPr>
                    <w:t>1，饱和蒸气压（kpa）：0.017/20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，闪点：</w:t>
                  </w:r>
                  <w:r>
                    <w:rPr>
                      <w:rFonts w:hint="default" w:ascii="Times New Roman" w:hAnsi="Times New Roman" w:cs="Times New Roman"/>
                      <w:color w:val="auto"/>
                      <w:sz w:val="18"/>
                      <w:szCs w:val="18"/>
                      <w:lang w:val="en-US" w:eastAsia="zh-CN"/>
                    </w:rPr>
                    <w:t>&gt;</w:t>
                  </w:r>
                  <w:r>
                    <w:rPr>
                      <w:rFonts w:hint="eastAsia" w:cs="Times New Roman"/>
                      <w:color w:val="auto"/>
                      <w:sz w:val="18"/>
                      <w:szCs w:val="18"/>
                      <w:lang w:val="en-US" w:eastAsia="zh-CN"/>
                    </w:rPr>
                    <w:t>220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，引燃温度：</w:t>
                  </w:r>
                  <w:r>
                    <w:rPr>
                      <w:rFonts w:hint="default" w:ascii="Times New Roman" w:hAnsi="Times New Roman" w:cs="Times New Roman"/>
                      <w:color w:val="auto"/>
                      <w:sz w:val="18"/>
                      <w:szCs w:val="18"/>
                      <w:lang w:val="en-US" w:eastAsia="zh-CN"/>
                    </w:rPr>
                    <w:t>&gt;</w:t>
                  </w:r>
                  <w:r>
                    <w:rPr>
                      <w:rFonts w:hint="eastAsia" w:cs="Times New Roman"/>
                      <w:color w:val="auto"/>
                      <w:sz w:val="18"/>
                      <w:szCs w:val="18"/>
                      <w:lang w:val="en-US" w:eastAsia="zh-CN"/>
                    </w:rPr>
                    <w:t>300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，爆炸上限：7%，体积百分比爆炸下限：0.6%，体积百分比溶解性：&lt;0.1</w:t>
                  </w:r>
                </w:p>
              </w:tc>
              <w:tc>
                <w:tcPr>
                  <w:tcW w:w="485"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易燃</w:t>
                  </w:r>
                </w:p>
              </w:tc>
              <w:tc>
                <w:tcPr>
                  <w:tcW w:w="894"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7</w:t>
                  </w:r>
                </w:p>
              </w:tc>
              <w:tc>
                <w:tcPr>
                  <w:tcW w:w="643" w:type="pct"/>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MOBIL DTE 25</w:t>
                  </w:r>
                  <w:r>
                    <w:rPr>
                      <w:rFonts w:hint="eastAsia" w:cs="Times New Roman"/>
                      <w:color w:val="auto"/>
                      <w:sz w:val="18"/>
                      <w:szCs w:val="18"/>
                      <w:lang w:val="en-US" w:eastAsia="zh-CN"/>
                    </w:rPr>
                    <w:t>液压油</w:t>
                  </w:r>
                </w:p>
              </w:tc>
              <w:tc>
                <w:tcPr>
                  <w:tcW w:w="2799"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琥珀色液体，相对密度(at 15</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 0.876，闪点: &gt;200</w:t>
                  </w:r>
                  <w:r>
                    <w:rPr>
                      <w:rFonts w:hint="default" w:cs="Times New Roman"/>
                      <w:color w:val="auto"/>
                      <w:sz w:val="18"/>
                      <w:szCs w:val="18"/>
                      <w:lang w:val="en-US" w:eastAsia="zh-CN"/>
                    </w:rPr>
                    <w:t>℃</w:t>
                  </w:r>
                  <w:r>
                    <w:rPr>
                      <w:rFonts w:hint="eastAsia" w:cs="Times New Roman"/>
                      <w:color w:val="auto"/>
                      <w:sz w:val="18"/>
                      <w:szCs w:val="18"/>
                      <w:lang w:val="en-US" w:eastAsia="zh-CN"/>
                    </w:rPr>
                    <w:t>(392</w:t>
                  </w:r>
                  <w:r>
                    <w:rPr>
                      <w:rFonts w:hint="default" w:ascii="Times New Roman" w:hAnsi="Times New Roman" w:cs="Times New Roman"/>
                      <w:color w:val="auto"/>
                      <w:sz w:val="18"/>
                      <w:szCs w:val="18"/>
                      <w:lang w:val="en-US" w:eastAsia="zh-CN"/>
                    </w:rPr>
                    <w:t xml:space="preserve"> ℉</w:t>
                  </w:r>
                  <w:r>
                    <w:rPr>
                      <w:rFonts w:hint="eastAsia" w:cs="Times New Roman"/>
                      <w:color w:val="auto"/>
                      <w:sz w:val="18"/>
                      <w:szCs w:val="18"/>
                      <w:lang w:val="en-US" w:eastAsia="zh-CN"/>
                    </w:rPr>
                    <w:t>)，爆炸下限(LEL): 0.9，爆炸上限（UEL）: 7.0，沸点: &gt;316</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 xml:space="preserve">(600 </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)，蒸气密度（空气=1）: &gt;2 at 101 kPa，蒸气压力: &lt; 0.013 kPa (0.1 mm Hg) at 20</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，正辛醇/水分配系数对数值: &gt;3.5，粘度: 46 cSt (46 mm</w:t>
                  </w:r>
                  <w:r>
                    <w:rPr>
                      <w:rFonts w:hint="eastAsia" w:cs="Times New Roman"/>
                      <w:color w:val="auto"/>
                      <w:sz w:val="18"/>
                      <w:szCs w:val="18"/>
                      <w:vertAlign w:val="superscript"/>
                      <w:lang w:val="en-US" w:eastAsia="zh-CN"/>
                    </w:rPr>
                    <w:t>2</w:t>
                  </w:r>
                  <w:r>
                    <w:rPr>
                      <w:rFonts w:hint="eastAsia" w:cs="Times New Roman"/>
                      <w:color w:val="auto"/>
                      <w:sz w:val="18"/>
                      <w:szCs w:val="18"/>
                      <w:lang w:val="en-US" w:eastAsia="zh-CN"/>
                    </w:rPr>
                    <w:t>/sec) at 40</w:t>
                  </w:r>
                  <w:r>
                    <w:rPr>
                      <w:rFonts w:hint="default" w:cs="Times New Roman"/>
                      <w:color w:val="auto"/>
                      <w:sz w:val="18"/>
                      <w:szCs w:val="18"/>
                      <w:lang w:val="en-US" w:eastAsia="zh-CN"/>
                    </w:rPr>
                    <w:t>℃</w:t>
                  </w:r>
                  <w:r>
                    <w:rPr>
                      <w:rFonts w:hint="eastAsia" w:cs="Times New Roman"/>
                      <w:color w:val="auto"/>
                      <w:sz w:val="18"/>
                      <w:szCs w:val="18"/>
                      <w:lang w:val="en-US" w:eastAsia="zh-CN"/>
                    </w:rPr>
                    <w:t>，倾点: -18</w:t>
                  </w:r>
                  <w:r>
                    <w:rPr>
                      <w:rFonts w:hint="default" w:cs="Times New Roman"/>
                      <w:color w:val="auto"/>
                      <w:sz w:val="18"/>
                      <w:szCs w:val="18"/>
                      <w:lang w:val="en-US" w:eastAsia="zh-CN"/>
                    </w:rPr>
                    <w:t>℃</w:t>
                  </w:r>
                  <w:r>
                    <w:rPr>
                      <w:rFonts w:hint="eastAsia" w:cs="Times New Roman"/>
                      <w:color w:val="auto"/>
                      <w:sz w:val="18"/>
                      <w:szCs w:val="18"/>
                      <w:lang w:val="en-US" w:eastAsia="zh-CN"/>
                    </w:rPr>
                    <w:t xml:space="preserve">(0 </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)，DMSO 萃取(仅用于矿物油) IP-346: &lt; 3 %wt</w:t>
                  </w:r>
                </w:p>
              </w:tc>
              <w:tc>
                <w:tcPr>
                  <w:tcW w:w="485"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易燃</w:t>
                  </w:r>
                </w:p>
              </w:tc>
              <w:tc>
                <w:tcPr>
                  <w:tcW w:w="894"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177"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8</w:t>
                  </w:r>
                </w:p>
              </w:tc>
              <w:tc>
                <w:tcPr>
                  <w:tcW w:w="643" w:type="pct"/>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顶针润滑油</w:t>
                  </w:r>
                </w:p>
              </w:tc>
              <w:tc>
                <w:tcPr>
                  <w:tcW w:w="2799" w:type="pct"/>
                  <w:vAlign w:val="center"/>
                </w:tcPr>
                <w:p>
                  <w:pPr>
                    <w:widowControl/>
                    <w:spacing w:line="240" w:lineRule="auto"/>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微黄色透明液体</w:t>
                  </w:r>
                  <w:r>
                    <w:rPr>
                      <w:rFonts w:hint="eastAsia" w:cs="Times New Roman"/>
                      <w:color w:val="auto"/>
                      <w:sz w:val="18"/>
                      <w:szCs w:val="18"/>
                      <w:lang w:val="en-US" w:eastAsia="zh-CN"/>
                    </w:rPr>
                    <w:t>，熔点（</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）：-138.4，相对密度(水=1)： 0.6-0.8，沸点（</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）：-42.11-0.5， 相对蒸汽密度(空气=1)：2.05，饱和蒸气压（Mpa）：1.3-2.0，燃烧热(kj/mol)：92092-12139，临界温度（</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 97-1400，临界压力（Mpa）： 3.79，闪点(</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)：-60，爆炸上限%（V/V）：8.5，爆炸下限%（V/V）：1.5，引燃温度（</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）：287，溶解性：良好</w:t>
                  </w:r>
                </w:p>
              </w:tc>
              <w:tc>
                <w:tcPr>
                  <w:tcW w:w="485"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易燃</w:t>
                  </w:r>
                </w:p>
              </w:tc>
              <w:tc>
                <w:tcPr>
                  <w:tcW w:w="894" w:type="pct"/>
                  <w:vAlign w:val="center"/>
                </w:tcPr>
                <w:p>
                  <w:pPr>
                    <w:widowControl/>
                    <w:spacing w:line="240" w:lineRule="auto"/>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无资料</w:t>
                  </w:r>
                </w:p>
              </w:tc>
            </w:tr>
          </w:tbl>
          <w:p>
            <w:pPr>
              <w:pStyle w:val="29"/>
              <w:keepNext w:val="0"/>
              <w:keepLines w:val="0"/>
              <w:pageBreakBefore w:val="0"/>
              <w:widowControl w:val="0"/>
              <w:kinsoku/>
              <w:wordWrap/>
              <w:overflowPunct/>
              <w:topLinePunct w:val="0"/>
              <w:autoSpaceDE/>
              <w:autoSpaceDN/>
              <w:bidi w:val="0"/>
              <w:adjustRightInd/>
              <w:snapToGrid/>
              <w:spacing w:before="0" w:line="360" w:lineRule="auto"/>
              <w:ind w:right="0" w:firstLine="422" w:firstLineChars="200"/>
              <w:jc w:val="both"/>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4、</w:t>
            </w:r>
            <w:r>
              <w:rPr>
                <w:rFonts w:hint="default" w:ascii="Times New Roman" w:hAnsi="Times New Roman" w:eastAsia="宋体" w:cs="Times New Roman"/>
                <w:b/>
                <w:bCs/>
                <w:kern w:val="2"/>
                <w:sz w:val="21"/>
                <w:szCs w:val="21"/>
                <w:highlight w:val="none"/>
                <w:lang w:val="en-US" w:eastAsia="zh-CN" w:bidi="ar-SA"/>
              </w:rPr>
              <w:t>项目水平衡</w:t>
            </w:r>
          </w:p>
          <w:p>
            <w:pPr>
              <w:adjustRightInd w:val="0"/>
              <w:snapToGrid w:val="0"/>
              <w:spacing w:line="360" w:lineRule="auto"/>
              <w:jc w:val="center"/>
              <w:rPr>
                <w:rFonts w:hint="default" w:ascii="Times New Roman" w:hAnsi="Times New Roman" w:cs="Times New Roman"/>
                <w:b/>
                <w:bCs/>
                <w:color w:val="auto"/>
                <w:sz w:val="21"/>
                <w:szCs w:val="21"/>
                <w:lang w:eastAsia="zh-CN"/>
              </w:rPr>
            </w:pPr>
            <w:r>
              <w:drawing>
                <wp:inline distT="0" distB="0" distL="114300" distR="114300">
                  <wp:extent cx="4659630" cy="2079625"/>
                  <wp:effectExtent l="0" t="0" r="7620" b="158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4659630" cy="207962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b/>
                <w:szCs w:val="24"/>
              </w:rPr>
            </w:pPr>
            <w:r>
              <w:rPr>
                <w:rFonts w:hint="default" w:ascii="Times New Roman" w:hAnsi="Times New Roman" w:cs="Times New Roman"/>
                <w:b/>
                <w:bCs/>
                <w:color w:val="auto"/>
                <w:sz w:val="21"/>
                <w:szCs w:val="21"/>
                <w:lang w:eastAsia="zh-CN"/>
              </w:rPr>
              <w:t>图</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1</w:t>
            </w:r>
            <w:r>
              <w:rPr>
                <w:rFonts w:hint="default" w:ascii="Times New Roman" w:hAnsi="Times New Roman" w:cs="Times New Roman"/>
                <w:b/>
                <w:bCs/>
                <w:color w:val="FF0000"/>
                <w:sz w:val="21"/>
                <w:szCs w:val="21"/>
              </w:rPr>
              <w:t xml:space="preserve"> </w:t>
            </w:r>
            <w:r>
              <w:rPr>
                <w:rFonts w:hint="default" w:ascii="Times New Roman" w:hAnsi="Times New Roman" w:cs="Times New Roman"/>
                <w:b/>
                <w:bCs/>
                <w:sz w:val="21"/>
                <w:szCs w:val="21"/>
              </w:rPr>
              <w:t>建成后全厂水平衡图</w:t>
            </w:r>
            <w:r>
              <w:rPr>
                <w:rFonts w:hint="eastAsia" w:cs="Times New Roman"/>
                <w:b/>
                <w:bCs/>
                <w:sz w:val="21"/>
                <w:szCs w:val="21"/>
                <w:lang w:val="en-US" w:eastAsia="zh-CN"/>
              </w:rPr>
              <w:t xml:space="preserve">  </w:t>
            </w:r>
            <w:r>
              <w:rPr>
                <w:rFonts w:hint="default" w:ascii="Times New Roman" w:hAnsi="Times New Roman" w:cs="Times New Roman"/>
                <w:b/>
                <w:bCs/>
                <w:sz w:val="21"/>
                <w:szCs w:val="21"/>
              </w:rPr>
              <w:t>单位：t/a</w:t>
            </w:r>
          </w:p>
          <w:p>
            <w:pPr>
              <w:pStyle w:val="29"/>
              <w:keepNext w:val="0"/>
              <w:keepLines w:val="0"/>
              <w:pageBreakBefore w:val="0"/>
              <w:widowControl w:val="0"/>
              <w:numPr>
                <w:ilvl w:val="0"/>
                <w:numId w:val="2"/>
              </w:numPr>
              <w:kinsoku/>
              <w:wordWrap/>
              <w:overflowPunct/>
              <w:topLinePunct w:val="0"/>
              <w:autoSpaceDE/>
              <w:autoSpaceDN/>
              <w:bidi w:val="0"/>
              <w:adjustRightInd/>
              <w:snapToGrid/>
              <w:spacing w:line="360" w:lineRule="auto"/>
              <w:ind w:left="-2" w:leftChars="0" w:firstLine="422" w:firstLineChars="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kern w:val="2"/>
                <w:sz w:val="21"/>
                <w:szCs w:val="21"/>
                <w:lang w:val="en-US" w:eastAsia="zh-CN" w:bidi="ar-SA"/>
              </w:rPr>
              <w:t>职工人数、工作制度</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企业</w:t>
            </w:r>
            <w:r>
              <w:rPr>
                <w:rFonts w:hint="eastAsia" w:cs="Times New Roman"/>
                <w:kern w:val="0"/>
                <w:sz w:val="21"/>
                <w:szCs w:val="21"/>
                <w:highlight w:val="none"/>
                <w:lang w:val="en-US" w:eastAsia="zh-CN"/>
              </w:rPr>
              <w:t>现有</w:t>
            </w:r>
            <w:r>
              <w:rPr>
                <w:rFonts w:hint="default" w:ascii="Times New Roman" w:hAnsi="Times New Roman" w:eastAsia="宋体" w:cs="Times New Roman"/>
                <w:kern w:val="0"/>
                <w:sz w:val="21"/>
                <w:szCs w:val="21"/>
                <w:highlight w:val="none"/>
                <w:lang w:val="en-US" w:eastAsia="zh-CN"/>
              </w:rPr>
              <w:t>职工</w:t>
            </w:r>
            <w:r>
              <w:rPr>
                <w:rFonts w:hint="eastAsia" w:cs="Times New Roman"/>
                <w:kern w:val="0"/>
                <w:sz w:val="21"/>
                <w:szCs w:val="21"/>
                <w:highlight w:val="none"/>
                <w:lang w:val="en-US" w:eastAsia="zh-CN"/>
              </w:rPr>
              <w:t>80</w:t>
            </w:r>
            <w:r>
              <w:rPr>
                <w:rFonts w:hint="default" w:ascii="Times New Roman" w:hAnsi="Times New Roman" w:eastAsia="宋体" w:cs="Times New Roman"/>
                <w:kern w:val="0"/>
                <w:sz w:val="21"/>
                <w:szCs w:val="21"/>
                <w:highlight w:val="none"/>
                <w:lang w:val="en-US" w:eastAsia="zh-CN"/>
              </w:rPr>
              <w:t>人，年工作</w:t>
            </w:r>
            <w:r>
              <w:rPr>
                <w:rFonts w:hint="eastAsia" w:cs="Times New Roman"/>
                <w:kern w:val="0"/>
                <w:sz w:val="21"/>
                <w:szCs w:val="21"/>
                <w:highlight w:val="none"/>
                <w:lang w:val="en-US" w:eastAsia="zh-CN"/>
              </w:rPr>
              <w:t>33</w:t>
            </w:r>
            <w:r>
              <w:rPr>
                <w:rFonts w:hint="default" w:ascii="Times New Roman" w:hAnsi="Times New Roman" w:eastAsia="宋体" w:cs="Times New Roman"/>
                <w:kern w:val="0"/>
                <w:sz w:val="21"/>
                <w:szCs w:val="21"/>
                <w:highlight w:val="none"/>
                <w:lang w:val="en-US" w:eastAsia="zh-CN"/>
              </w:rPr>
              <w:t>0天，采用</w:t>
            </w:r>
            <w:r>
              <w:rPr>
                <w:rFonts w:hint="eastAsia" w:cs="Times New Roman"/>
                <w:kern w:val="0"/>
                <w:sz w:val="21"/>
                <w:szCs w:val="21"/>
                <w:highlight w:val="none"/>
                <w:lang w:val="en-US" w:eastAsia="zh-CN"/>
              </w:rPr>
              <w:t>三</w:t>
            </w:r>
            <w:r>
              <w:rPr>
                <w:rFonts w:hint="default" w:ascii="Times New Roman" w:hAnsi="Times New Roman" w:eastAsia="宋体" w:cs="Times New Roman"/>
                <w:kern w:val="0"/>
                <w:sz w:val="21"/>
                <w:szCs w:val="21"/>
                <w:highlight w:val="none"/>
                <w:lang w:val="en-US" w:eastAsia="zh-CN"/>
              </w:rPr>
              <w:t>班工作制，每</w:t>
            </w:r>
            <w:r>
              <w:rPr>
                <w:rFonts w:hint="eastAsia" w:cs="Times New Roman"/>
                <w:kern w:val="0"/>
                <w:sz w:val="21"/>
                <w:szCs w:val="21"/>
                <w:highlight w:val="none"/>
                <w:lang w:val="en-US" w:eastAsia="zh-CN"/>
              </w:rPr>
              <w:t>班</w:t>
            </w:r>
            <w:r>
              <w:rPr>
                <w:rFonts w:hint="default" w:ascii="Times New Roman" w:hAnsi="Times New Roman" w:eastAsia="宋体" w:cs="Times New Roman"/>
                <w:kern w:val="0"/>
                <w:sz w:val="21"/>
                <w:szCs w:val="21"/>
                <w:highlight w:val="none"/>
                <w:lang w:val="en-US" w:eastAsia="zh-CN"/>
              </w:rPr>
              <w:t>工作</w:t>
            </w:r>
            <w:r>
              <w:rPr>
                <w:rFonts w:hint="eastAsia" w:cs="Times New Roman"/>
                <w:kern w:val="0"/>
                <w:sz w:val="21"/>
                <w:szCs w:val="21"/>
                <w:highlight w:val="none"/>
                <w:lang w:val="en-US" w:eastAsia="zh-CN"/>
              </w:rPr>
              <w:t>8</w:t>
            </w:r>
            <w:r>
              <w:rPr>
                <w:rFonts w:hint="default" w:ascii="Times New Roman" w:hAnsi="Times New Roman" w:eastAsia="宋体" w:cs="Times New Roman"/>
                <w:kern w:val="0"/>
                <w:sz w:val="21"/>
                <w:szCs w:val="21"/>
                <w:highlight w:val="none"/>
                <w:lang w:val="en-US" w:eastAsia="zh-CN"/>
              </w:rPr>
              <w:t>小时</w:t>
            </w:r>
            <w:r>
              <w:rPr>
                <w:rFonts w:hint="eastAsia"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val="en-US" w:eastAsia="zh-CN"/>
              </w:rPr>
              <w:t>年运行</w:t>
            </w:r>
            <w:r>
              <w:rPr>
                <w:rFonts w:hint="eastAsia" w:cs="Times New Roman"/>
                <w:kern w:val="0"/>
                <w:sz w:val="21"/>
                <w:szCs w:val="21"/>
                <w:highlight w:val="none"/>
                <w:lang w:val="en-US" w:eastAsia="zh-CN"/>
              </w:rPr>
              <w:t>792</w:t>
            </w:r>
            <w:r>
              <w:rPr>
                <w:rFonts w:hint="default" w:ascii="Times New Roman" w:hAnsi="Times New Roman" w:eastAsia="宋体" w:cs="Times New Roman"/>
                <w:kern w:val="0"/>
                <w:sz w:val="21"/>
                <w:szCs w:val="21"/>
                <w:highlight w:val="none"/>
                <w:lang w:val="en-US" w:eastAsia="zh-CN"/>
              </w:rPr>
              <w:t>0小时。技改</w:t>
            </w:r>
            <w:r>
              <w:rPr>
                <w:rFonts w:hint="eastAsia" w:cs="Times New Roman"/>
                <w:kern w:val="0"/>
                <w:sz w:val="21"/>
                <w:szCs w:val="21"/>
                <w:highlight w:val="none"/>
                <w:lang w:val="en-US" w:eastAsia="zh-CN"/>
              </w:rPr>
              <w:t>后不新增职工，</w:t>
            </w:r>
            <w:r>
              <w:rPr>
                <w:rFonts w:hint="default" w:ascii="Times New Roman" w:hAnsi="Times New Roman" w:eastAsia="宋体" w:cs="Times New Roman"/>
                <w:kern w:val="0"/>
                <w:sz w:val="21"/>
                <w:szCs w:val="21"/>
                <w:highlight w:val="none"/>
                <w:lang w:val="en-US" w:eastAsia="zh-CN"/>
              </w:rPr>
              <w:t>年工作</w:t>
            </w:r>
            <w:r>
              <w:rPr>
                <w:rFonts w:hint="eastAsia" w:cs="Times New Roman"/>
                <w:kern w:val="0"/>
                <w:sz w:val="21"/>
                <w:szCs w:val="21"/>
                <w:highlight w:val="none"/>
                <w:lang w:val="en-US" w:eastAsia="zh-CN"/>
              </w:rPr>
              <w:t>25</w:t>
            </w:r>
            <w:r>
              <w:rPr>
                <w:rFonts w:hint="default" w:ascii="Times New Roman" w:hAnsi="Times New Roman" w:eastAsia="宋体" w:cs="Times New Roman"/>
                <w:kern w:val="0"/>
                <w:sz w:val="21"/>
                <w:szCs w:val="21"/>
                <w:highlight w:val="none"/>
                <w:lang w:val="en-US" w:eastAsia="zh-CN"/>
              </w:rPr>
              <w:t>0天，采用</w:t>
            </w:r>
            <w:r>
              <w:rPr>
                <w:rFonts w:hint="eastAsia" w:cs="Times New Roman"/>
                <w:kern w:val="0"/>
                <w:sz w:val="21"/>
                <w:szCs w:val="21"/>
                <w:highlight w:val="none"/>
                <w:lang w:val="en-US" w:eastAsia="zh-CN"/>
              </w:rPr>
              <w:t>三</w:t>
            </w:r>
            <w:r>
              <w:rPr>
                <w:rFonts w:hint="default" w:ascii="Times New Roman" w:hAnsi="Times New Roman" w:eastAsia="宋体" w:cs="Times New Roman"/>
                <w:kern w:val="0"/>
                <w:sz w:val="21"/>
                <w:szCs w:val="21"/>
                <w:highlight w:val="none"/>
                <w:lang w:val="en-US" w:eastAsia="zh-CN"/>
              </w:rPr>
              <w:t>班工作制，每</w:t>
            </w:r>
            <w:r>
              <w:rPr>
                <w:rFonts w:hint="eastAsia" w:cs="Times New Roman"/>
                <w:kern w:val="0"/>
                <w:sz w:val="21"/>
                <w:szCs w:val="21"/>
                <w:highlight w:val="none"/>
                <w:lang w:val="en-US" w:eastAsia="zh-CN"/>
              </w:rPr>
              <w:t>班</w:t>
            </w:r>
            <w:r>
              <w:rPr>
                <w:rFonts w:hint="default" w:ascii="Times New Roman" w:hAnsi="Times New Roman" w:eastAsia="宋体" w:cs="Times New Roman"/>
                <w:kern w:val="0"/>
                <w:sz w:val="21"/>
                <w:szCs w:val="21"/>
                <w:highlight w:val="none"/>
                <w:lang w:val="en-US" w:eastAsia="zh-CN"/>
              </w:rPr>
              <w:t>工作</w:t>
            </w:r>
            <w:r>
              <w:rPr>
                <w:rFonts w:hint="eastAsia" w:cs="Times New Roman"/>
                <w:kern w:val="0"/>
                <w:sz w:val="21"/>
                <w:szCs w:val="21"/>
                <w:highlight w:val="none"/>
                <w:lang w:val="en-US" w:eastAsia="zh-CN"/>
              </w:rPr>
              <w:t>8</w:t>
            </w:r>
            <w:r>
              <w:rPr>
                <w:rFonts w:hint="default" w:ascii="Times New Roman" w:hAnsi="Times New Roman" w:eastAsia="宋体" w:cs="Times New Roman"/>
                <w:kern w:val="0"/>
                <w:sz w:val="21"/>
                <w:szCs w:val="21"/>
                <w:highlight w:val="none"/>
                <w:lang w:val="en-US" w:eastAsia="zh-CN"/>
              </w:rPr>
              <w:t>小时</w:t>
            </w:r>
            <w:r>
              <w:rPr>
                <w:rFonts w:hint="eastAsia"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val="en-US" w:eastAsia="zh-CN"/>
              </w:rPr>
              <w:t>年运行6000小时。</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2" w:leftChars="0" w:firstLine="422"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kern w:val="2"/>
                <w:sz w:val="21"/>
                <w:szCs w:val="21"/>
                <w:lang w:val="en-US" w:eastAsia="zh-CN" w:bidi="ar-SA"/>
              </w:rPr>
              <w:t>厂区平面布置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lang w:val="en-US"/>
              </w:rPr>
            </w:pPr>
            <w:r>
              <w:rPr>
                <w:rFonts w:hint="default" w:ascii="Times New Roman" w:hAnsi="Times New Roman" w:eastAsia="宋体" w:cs="Times New Roman"/>
                <w:kern w:val="0"/>
                <w:sz w:val="21"/>
                <w:szCs w:val="21"/>
                <w:highlight w:val="none"/>
                <w:lang w:val="en-US" w:eastAsia="zh-CN"/>
              </w:rPr>
              <w:t>本项目租用</w:t>
            </w:r>
            <w:r>
              <w:rPr>
                <w:rFonts w:hint="eastAsia" w:cs="Times New Roman"/>
                <w:kern w:val="0"/>
                <w:sz w:val="21"/>
                <w:szCs w:val="21"/>
                <w:highlight w:val="none"/>
                <w:lang w:val="en-US" w:eastAsia="zh-CN"/>
              </w:rPr>
              <w:t>腾飞新苏置业（苏州）有限公司位于</w:t>
            </w:r>
            <w:r>
              <w:rPr>
                <w:rFonts w:hint="default" w:ascii="Times New Roman" w:hAnsi="Times New Roman" w:eastAsia="宋体" w:cs="Times New Roman"/>
                <w:kern w:val="0"/>
                <w:sz w:val="21"/>
                <w:szCs w:val="21"/>
                <w:highlight w:val="none"/>
                <w:lang w:val="en-US" w:eastAsia="zh-CN"/>
              </w:rPr>
              <w:t>苏州工业园区</w:t>
            </w:r>
            <w:r>
              <w:rPr>
                <w:rFonts w:hint="eastAsia" w:cs="Times New Roman"/>
                <w:kern w:val="0"/>
                <w:sz w:val="21"/>
                <w:szCs w:val="21"/>
                <w:highlight w:val="none"/>
                <w:lang w:val="en-US" w:eastAsia="zh-CN"/>
              </w:rPr>
              <w:t>星海街220</w:t>
            </w:r>
            <w:r>
              <w:rPr>
                <w:rFonts w:hint="default" w:ascii="Times New Roman" w:hAnsi="Times New Roman" w:eastAsia="宋体" w:cs="Times New Roman"/>
                <w:kern w:val="0"/>
                <w:sz w:val="21"/>
                <w:szCs w:val="21"/>
                <w:highlight w:val="none"/>
                <w:lang w:val="en-US" w:eastAsia="zh-CN"/>
              </w:rPr>
              <w:t>号的厂房（房屋租赁合同见附件）。</w:t>
            </w:r>
            <w:r>
              <w:rPr>
                <w:rFonts w:hint="eastAsia" w:cs="Times New Roman"/>
                <w:kern w:val="0"/>
                <w:sz w:val="21"/>
                <w:szCs w:val="21"/>
                <w:highlight w:val="none"/>
                <w:lang w:val="en-US" w:eastAsia="zh-CN"/>
              </w:rPr>
              <w:t>项目租用厂房为厂区东南侧两栋，两栋的注塑生产车间均位于一楼北侧，南侧为仓库。东侧厂房二楼为装配车间。化学品库和危废仓库位于厂房外部南侧。</w:t>
            </w:r>
            <w:r>
              <w:rPr>
                <w:rFonts w:hint="eastAsia"/>
                <w:sz w:val="21"/>
                <w:szCs w:val="21"/>
                <w:lang w:val="en-US" w:eastAsia="zh-CN"/>
              </w:rPr>
              <w:t>本项目车间具体布置见附图四，</w:t>
            </w:r>
            <w:r>
              <w:rPr>
                <w:rFonts w:hint="default" w:ascii="Times New Roman" w:hAnsi="Times New Roman" w:eastAsia="宋体" w:cs="Times New Roman"/>
                <w:kern w:val="0"/>
                <w:sz w:val="21"/>
                <w:szCs w:val="21"/>
                <w:highlight w:val="none"/>
                <w:lang w:val="en-US" w:eastAsia="zh-CN"/>
              </w:rPr>
              <w:t>厂区平面布置图见附图三。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538" w:type="dxa"/>
            <w:noWrap w:val="0"/>
            <w:vAlign w:val="center"/>
          </w:tcPr>
          <w:p>
            <w:pPr>
              <w:pStyle w:val="14"/>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522" w:type="dxa"/>
            <w:noWrap w:val="0"/>
            <w:vAlign w:val="top"/>
          </w:tcPr>
          <w:p>
            <w:pPr>
              <w:pStyle w:val="29"/>
              <w:adjustRightInd w:val="0"/>
              <w:snapToGrid w:val="0"/>
              <w:spacing w:line="360" w:lineRule="auto"/>
              <w:ind w:left="0" w:leftChars="0" w:firstLine="0" w:firstLineChars="0"/>
              <w:jc w:val="both"/>
              <w:rPr>
                <w:rFonts w:hint="eastAsia"/>
                <w:lang w:val="en-US" w:eastAsia="zh-CN"/>
              </w:rPr>
            </w:pPr>
            <w:r>
              <w:rPr>
                <w:rFonts w:hint="eastAsia"/>
                <w:b/>
                <w:bCs/>
                <w:sz w:val="21"/>
                <w:szCs w:val="21"/>
                <w:lang w:val="en-US" w:eastAsia="zh-CN"/>
              </w:rPr>
              <w:t>生产工艺流程：</w:t>
            </w:r>
          </w:p>
          <w:p>
            <w:pPr>
              <w:numPr>
                <w:ilvl w:val="0"/>
                <w:numId w:val="3"/>
              </w:numPr>
              <w:rPr>
                <w:rFonts w:hint="default"/>
                <w:b/>
                <w:bCs/>
                <w:lang w:val="en-US" w:eastAsia="zh-CN"/>
              </w:rPr>
            </w:pPr>
            <w:r>
              <w:rPr>
                <w:rFonts w:hint="eastAsia"/>
                <w:b/>
                <w:bCs/>
                <w:lang w:val="en-US" w:eastAsia="zh-CN"/>
              </w:rPr>
              <w:t>注塑生产工艺流程</w:t>
            </w:r>
          </w:p>
          <w:p>
            <w:pPr>
              <w:jc w:val="center"/>
            </w:pPr>
            <w:r>
              <w:drawing>
                <wp:inline distT="0" distB="0" distL="114300" distR="114300">
                  <wp:extent cx="4370070" cy="821055"/>
                  <wp:effectExtent l="0" t="0" r="1143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370070" cy="821055"/>
                          </a:xfrm>
                          <a:prstGeom prst="rect">
                            <a:avLst/>
                          </a:prstGeom>
                          <a:noFill/>
                          <a:ln>
                            <a:noFill/>
                          </a:ln>
                        </pic:spPr>
                      </pic:pic>
                    </a:graphicData>
                  </a:graphic>
                </wp:inline>
              </w:drawing>
            </w:r>
          </w:p>
          <w:p>
            <w:pPr>
              <w:jc w:val="center"/>
            </w:pPr>
            <w:r>
              <w:rPr>
                <w:b/>
                <w:bCs/>
              </w:rPr>
              <w:t>图</w:t>
            </w:r>
            <w:r>
              <w:rPr>
                <w:rFonts w:hint="eastAsia"/>
                <w:b/>
                <w:bCs/>
                <w:lang w:val="en-US" w:eastAsia="zh-CN"/>
              </w:rPr>
              <w:t>2</w:t>
            </w:r>
            <w:r>
              <w:rPr>
                <w:b/>
                <w:bCs/>
              </w:rPr>
              <w:t>-</w:t>
            </w:r>
            <w:r>
              <w:rPr>
                <w:rFonts w:hint="eastAsia"/>
                <w:b/>
                <w:bCs/>
                <w:lang w:val="en-US" w:eastAsia="zh-CN"/>
              </w:rPr>
              <w:t>2注塑生产</w:t>
            </w:r>
            <w:r>
              <w:rPr>
                <w:b/>
                <w:bCs/>
              </w:rPr>
              <w:t xml:space="preserve">工艺流程图 </w:t>
            </w:r>
            <w:r>
              <w:t xml:space="preserve">                                       </w:t>
            </w:r>
          </w:p>
          <w:p>
            <w:pPr>
              <w:pStyle w:val="4"/>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eastAsia" w:ascii="Times New Roman" w:hAnsi="Times New Roman" w:eastAsia="宋体" w:cs="Times New Roman"/>
                <w:b/>
                <w:bCs/>
                <w:kern w:val="0"/>
                <w:position w:val="-5"/>
                <w:sz w:val="21"/>
                <w:szCs w:val="21"/>
                <w:lang w:val="en-US" w:eastAsia="zh-CN"/>
              </w:rPr>
            </w:pPr>
            <w:r>
              <w:rPr>
                <w:rFonts w:hint="eastAsia" w:ascii="Times New Roman" w:hAnsi="Times New Roman" w:eastAsia="宋体" w:cs="Times New Roman"/>
                <w:b/>
                <w:bCs/>
                <w:kern w:val="0"/>
                <w:position w:val="-5"/>
                <w:sz w:val="21"/>
                <w:szCs w:val="21"/>
                <w:lang w:val="en-US" w:eastAsia="zh-CN"/>
              </w:rPr>
              <w:t>生产工艺流程及产污简述：</w:t>
            </w:r>
          </w:p>
          <w:p>
            <w:pPr>
              <w:pStyle w:val="4"/>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宋体" w:cs="Times New Roman"/>
                <w:b/>
                <w:bCs/>
                <w:color w:val="000000" w:themeColor="text1"/>
                <w:kern w:val="0"/>
                <w:position w:val="-5"/>
                <w:sz w:val="21"/>
                <w:szCs w:val="21"/>
                <w:lang w:val="en-US" w:eastAsia="zh-CN"/>
                <w14:textFill>
                  <w14:solidFill>
                    <w14:schemeClr w14:val="tx1"/>
                  </w14:solidFill>
                </w14:textFill>
              </w:rPr>
            </w:pPr>
            <w:r>
              <w:rPr>
                <w:rFonts w:hint="default" w:ascii="Times New Roman" w:hAnsi="Times New Roman" w:eastAsia="宋体" w:cs="Times New Roman"/>
                <w:b/>
                <w:bCs/>
                <w:kern w:val="0"/>
                <w:position w:val="-5"/>
                <w:sz w:val="21"/>
                <w:szCs w:val="21"/>
                <w:lang w:val="en-US" w:eastAsia="zh-CN"/>
              </w:rPr>
              <w:t>烘料：</w:t>
            </w:r>
            <w:r>
              <w:rPr>
                <w:rFonts w:hint="default" w:ascii="Times New Roman" w:hAnsi="Times New Roman" w:eastAsia="宋体" w:cs="Times New Roman"/>
                <w:b w:val="0"/>
                <w:bCs w:val="0"/>
                <w:kern w:val="0"/>
                <w:position w:val="-5"/>
                <w:sz w:val="21"/>
                <w:szCs w:val="21"/>
                <w:lang w:val="en-US" w:eastAsia="zh-CN"/>
              </w:rPr>
              <w:t>将PP、PE人工加入烘料机中除湿干燥，烘干温度为80℃</w:t>
            </w:r>
            <w:r>
              <w:rPr>
                <w:rFonts w:hint="eastAsia" w:ascii="Times New Roman" w:hAnsi="Times New Roman" w:eastAsia="宋体" w:cs="Times New Roman"/>
                <w:b w:val="0"/>
                <w:bCs w:val="0"/>
                <w:kern w:val="0"/>
                <w:position w:val="-5"/>
                <w:sz w:val="21"/>
                <w:szCs w:val="21"/>
                <w:lang w:val="en-US" w:eastAsia="zh-CN"/>
              </w:rPr>
              <w:t>，此过程产生水蒸气G1可直接排放</w:t>
            </w:r>
            <w:r>
              <w:rPr>
                <w:rFonts w:hint="eastAsia"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w:t>
            </w:r>
            <w:r>
              <w:rPr>
                <w:rFonts w:hint="eastAsia" w:ascii="Times New Roman" w:eastAsia="宋体" w:cs="Times New Roman"/>
                <w:b w:val="0"/>
                <w:bCs w:val="0"/>
                <w:color w:val="000000" w:themeColor="text1"/>
                <w:kern w:val="0"/>
                <w:position w:val="-5"/>
                <w:sz w:val="21"/>
                <w:szCs w:val="21"/>
                <w:lang w:val="en-US" w:eastAsia="zh-CN"/>
                <w14:textFill>
                  <w14:solidFill>
                    <w14:schemeClr w14:val="tx1"/>
                  </w14:solidFill>
                </w14:textFill>
              </w:rPr>
              <w:t>投料过程产生的颗粒物可忽略不计。</w:t>
            </w:r>
          </w:p>
          <w:p>
            <w:pPr>
              <w:pStyle w:val="4"/>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宋体" w:cs="Times New Roman"/>
                <w:b w:val="0"/>
                <w:bCs w:val="0"/>
                <w:kern w:val="0"/>
                <w:position w:val="-5"/>
                <w:sz w:val="21"/>
                <w:szCs w:val="21"/>
                <w:lang w:val="en-US" w:eastAsia="zh-CN"/>
              </w:rPr>
            </w:pPr>
            <w:r>
              <w:rPr>
                <w:rFonts w:hint="default" w:ascii="Times New Roman" w:hAnsi="Times New Roman" w:eastAsia="宋体" w:cs="Times New Roman"/>
                <w:b/>
                <w:bCs/>
                <w:color w:val="000000" w:themeColor="text1"/>
                <w:kern w:val="0"/>
                <w:position w:val="-5"/>
                <w:sz w:val="21"/>
                <w:szCs w:val="21"/>
                <w:lang w:val="en-US" w:eastAsia="zh-CN"/>
                <w14:textFill>
                  <w14:solidFill>
                    <w14:schemeClr w14:val="tx1"/>
                  </w14:solidFill>
                </w14:textFill>
              </w:rPr>
              <w:t>注塑：</w:t>
            </w:r>
            <w:r>
              <w:rPr>
                <w:rFonts w:hint="default"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烘干后的塑料粒子通过管道抽入注塑机，在220℃左右熔融后注射到模具中</w:t>
            </w:r>
            <w:r>
              <w:rPr>
                <w:rFonts w:hint="eastAsia"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熔融的</w:t>
            </w:r>
            <w:r>
              <w:rPr>
                <w:rFonts w:hint="eastAsia"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塑料</w:t>
            </w:r>
            <w:r>
              <w:rPr>
                <w:rFonts w:hint="default"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在模具中冷却定型</w:t>
            </w:r>
            <w:r>
              <w:rPr>
                <w:rFonts w:hint="eastAsia"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，根据生产需要，会使用冷却水对设备进行冷却，使用模温机，控制注塑机成型温度</w:t>
            </w:r>
            <w:r>
              <w:rPr>
                <w:rFonts w:hint="eastAsia" w:ascii="Times New Roman" w:eastAsia="宋体" w:cs="Times New Roman"/>
                <w:b w:val="0"/>
                <w:bCs w:val="0"/>
                <w:color w:val="auto"/>
                <w:kern w:val="0"/>
                <w:position w:val="-5"/>
                <w:sz w:val="21"/>
                <w:szCs w:val="21"/>
                <w:lang w:val="en-US" w:eastAsia="zh-CN"/>
              </w:rPr>
              <w:t>，</w:t>
            </w:r>
            <w:r>
              <w:rPr>
                <w:rFonts w:hint="eastAsia" w:ascii="Times New Roman" w:hAnsi="Times New Roman" w:eastAsia="宋体" w:cs="Times New Roman"/>
                <w:b w:val="0"/>
                <w:bCs w:val="0"/>
                <w:color w:val="auto"/>
                <w:kern w:val="0"/>
                <w:position w:val="-5"/>
                <w:sz w:val="21"/>
                <w:szCs w:val="21"/>
                <w:lang w:val="en-US" w:eastAsia="zh-CN"/>
              </w:rPr>
              <w:t>根据产品大小结构不同，冷却时间为5-</w:t>
            </w:r>
            <w:r>
              <w:rPr>
                <w:rFonts w:hint="default" w:ascii="Times New Roman" w:hAnsi="Times New Roman" w:eastAsia="宋体" w:cs="Times New Roman"/>
                <w:b w:val="0"/>
                <w:bCs w:val="0"/>
                <w:color w:val="auto"/>
                <w:kern w:val="0"/>
                <w:position w:val="-5"/>
                <w:sz w:val="21"/>
                <w:szCs w:val="21"/>
                <w:lang w:val="en-US" w:eastAsia="zh-CN"/>
              </w:rPr>
              <w:t>30</w:t>
            </w:r>
            <w:r>
              <w:rPr>
                <w:rFonts w:hint="eastAsia" w:ascii="Times New Roman" w:hAnsi="Times New Roman" w:eastAsia="宋体" w:cs="Times New Roman"/>
                <w:b w:val="0"/>
                <w:bCs w:val="0"/>
                <w:color w:val="auto"/>
                <w:kern w:val="0"/>
                <w:position w:val="-5"/>
                <w:sz w:val="21"/>
                <w:szCs w:val="21"/>
                <w:lang w:val="en-US" w:eastAsia="zh-CN"/>
              </w:rPr>
              <w:t>秒不等，温度控制在</w:t>
            </w:r>
            <w:r>
              <w:rPr>
                <w:rFonts w:hint="default" w:ascii="Times New Roman" w:hAnsi="Times New Roman" w:eastAsia="宋体" w:cs="Times New Roman"/>
                <w:b w:val="0"/>
                <w:bCs w:val="0"/>
                <w:color w:val="auto"/>
                <w:kern w:val="0"/>
                <w:position w:val="-5"/>
                <w:sz w:val="21"/>
                <w:szCs w:val="21"/>
                <w:lang w:val="en-US" w:eastAsia="zh-CN"/>
              </w:rPr>
              <w:t>40</w:t>
            </w:r>
            <w:r>
              <w:rPr>
                <w:rFonts w:hint="eastAsia" w:ascii="Times New Roman" w:hAnsi="Times New Roman" w:eastAsia="宋体" w:cs="Times New Roman"/>
                <w:b w:val="0"/>
                <w:bCs w:val="0"/>
                <w:color w:val="auto"/>
                <w:kern w:val="0"/>
                <w:position w:val="-5"/>
                <w:sz w:val="21"/>
                <w:szCs w:val="21"/>
                <w:lang w:val="en-US" w:eastAsia="zh-CN"/>
              </w:rPr>
              <w:t>-</w:t>
            </w:r>
            <w:r>
              <w:rPr>
                <w:rFonts w:hint="default" w:ascii="Times New Roman" w:hAnsi="Times New Roman" w:eastAsia="宋体" w:cs="Times New Roman"/>
                <w:b w:val="0"/>
                <w:bCs w:val="0"/>
                <w:color w:val="auto"/>
                <w:kern w:val="0"/>
                <w:position w:val="-5"/>
                <w:sz w:val="21"/>
                <w:szCs w:val="21"/>
                <w:lang w:val="en-US" w:eastAsia="zh-CN"/>
              </w:rPr>
              <w:t>120℃</w:t>
            </w:r>
            <w:r>
              <w:rPr>
                <w:rFonts w:hint="eastAsia" w:ascii="Times New Roman" w:hAnsi="Times New Roman" w:eastAsia="宋体" w:cs="Times New Roman"/>
                <w:b w:val="0"/>
                <w:bCs w:val="0"/>
                <w:color w:val="auto"/>
                <w:kern w:val="0"/>
                <w:position w:val="-5"/>
                <w:sz w:val="21"/>
                <w:szCs w:val="21"/>
                <w:lang w:val="en-US" w:eastAsia="zh-CN"/>
              </w:rPr>
              <w:t>之间。此</w:t>
            </w:r>
            <w:r>
              <w:rPr>
                <w:rFonts w:hint="eastAsia" w:ascii="Times New Roman" w:hAnsi="Times New Roman" w:eastAsia="宋体" w:cs="Times New Roman"/>
                <w:b w:val="0"/>
                <w:bCs w:val="0"/>
                <w:color w:val="000000" w:themeColor="text1"/>
                <w:kern w:val="0"/>
                <w:position w:val="-5"/>
                <w:sz w:val="21"/>
                <w:szCs w:val="21"/>
                <w:lang w:val="en-US" w:eastAsia="zh-CN"/>
                <w14:textFill>
                  <w14:solidFill>
                    <w14:schemeClr w14:val="tx1"/>
                  </w14:solidFill>
                </w14:textFill>
              </w:rPr>
              <w:t>过程产</w:t>
            </w:r>
            <w:r>
              <w:rPr>
                <w:rFonts w:hint="eastAsia" w:ascii="Times New Roman" w:hAnsi="Times New Roman" w:eastAsia="宋体" w:cs="Times New Roman"/>
                <w:b w:val="0"/>
                <w:bCs w:val="0"/>
                <w:kern w:val="0"/>
                <w:position w:val="-5"/>
                <w:sz w:val="21"/>
                <w:szCs w:val="21"/>
                <w:lang w:val="en-US" w:eastAsia="zh-CN"/>
              </w:rPr>
              <w:t>生注塑废气G2，边角料S1，冷却水W1，冷却水循环使用。</w:t>
            </w:r>
          </w:p>
          <w:p>
            <w:pPr>
              <w:pStyle w:val="4"/>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宋体" w:cs="Times New Roman"/>
                <w:b w:val="0"/>
                <w:bCs w:val="0"/>
                <w:kern w:val="0"/>
                <w:position w:val="-5"/>
                <w:sz w:val="21"/>
                <w:szCs w:val="21"/>
                <w:lang w:val="en-US" w:eastAsia="zh-CN"/>
              </w:rPr>
            </w:pPr>
            <w:r>
              <w:rPr>
                <w:rFonts w:hint="eastAsia" w:ascii="Times New Roman" w:hAnsi="Times New Roman" w:eastAsia="宋体" w:cs="Times New Roman"/>
                <w:b/>
                <w:bCs/>
                <w:kern w:val="0"/>
                <w:position w:val="-5"/>
                <w:sz w:val="21"/>
                <w:szCs w:val="21"/>
                <w:lang w:val="en-US" w:eastAsia="zh-CN"/>
              </w:rPr>
              <w:t>脱模：</w:t>
            </w:r>
            <w:r>
              <w:rPr>
                <w:rFonts w:hint="eastAsia" w:ascii="Times New Roman" w:hAnsi="Times New Roman" w:eastAsia="宋体" w:cs="Times New Roman"/>
                <w:b w:val="0"/>
                <w:bCs w:val="0"/>
                <w:kern w:val="0"/>
                <w:position w:val="-5"/>
                <w:sz w:val="21"/>
                <w:szCs w:val="21"/>
                <w:lang w:val="en-US" w:eastAsia="zh-CN"/>
              </w:rPr>
              <w:t>塑料在模具中冷却定型后，注塑机打开模具，顶出产品，产品自动掉落或者经机械手取出。</w:t>
            </w:r>
          </w:p>
          <w:p>
            <w:pPr>
              <w:pStyle w:val="4"/>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宋体" w:cs="Times New Roman"/>
                <w:b/>
                <w:bCs/>
                <w:kern w:val="0"/>
                <w:position w:val="-5"/>
                <w:sz w:val="21"/>
                <w:szCs w:val="21"/>
                <w:lang w:val="en-US" w:eastAsia="zh-CN"/>
              </w:rPr>
            </w:pPr>
            <w:r>
              <w:rPr>
                <w:rFonts w:hint="default" w:ascii="Times New Roman" w:hAnsi="Times New Roman" w:eastAsia="宋体" w:cs="Times New Roman"/>
                <w:b/>
                <w:bCs/>
                <w:kern w:val="0"/>
                <w:position w:val="-5"/>
                <w:sz w:val="21"/>
                <w:szCs w:val="21"/>
                <w:lang w:val="en-US" w:eastAsia="zh-CN"/>
              </w:rPr>
              <w:t>检验：</w:t>
            </w:r>
            <w:r>
              <w:rPr>
                <w:rFonts w:hint="default" w:ascii="Times New Roman" w:hAnsi="Times New Roman" w:eastAsia="宋体" w:cs="Times New Roman"/>
                <w:b w:val="0"/>
                <w:bCs w:val="0"/>
                <w:kern w:val="0"/>
                <w:position w:val="-5"/>
                <w:sz w:val="21"/>
                <w:szCs w:val="21"/>
                <w:lang w:val="en-US" w:eastAsia="zh-CN"/>
              </w:rPr>
              <w:t>员工通过仪器检验产品的好坏。</w:t>
            </w:r>
            <w:r>
              <w:rPr>
                <w:rFonts w:hint="eastAsia" w:ascii="Times New Roman" w:hAnsi="Times New Roman" w:eastAsia="宋体" w:cs="Times New Roman"/>
                <w:b w:val="0"/>
                <w:bCs w:val="0"/>
                <w:kern w:val="0"/>
                <w:position w:val="-5"/>
                <w:sz w:val="21"/>
                <w:szCs w:val="21"/>
                <w:lang w:val="en-US" w:eastAsia="zh-CN"/>
              </w:rPr>
              <w:t>此过程会产生不合格品S2，收集后对外出售。</w:t>
            </w:r>
          </w:p>
          <w:p>
            <w:pPr>
              <w:pStyle w:val="4"/>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宋体" w:cs="Times New Roman"/>
                <w:kern w:val="0"/>
                <w:position w:val="-5"/>
                <w:sz w:val="21"/>
                <w:szCs w:val="21"/>
                <w:lang w:val="en-US" w:eastAsia="zh-CN"/>
              </w:rPr>
            </w:pPr>
            <w:r>
              <w:rPr>
                <w:rFonts w:hint="eastAsia" w:ascii="Times New Roman" w:hAnsi="Times New Roman" w:eastAsia="宋体" w:cs="Times New Roman"/>
                <w:b/>
                <w:bCs/>
                <w:kern w:val="0"/>
                <w:position w:val="-5"/>
                <w:sz w:val="21"/>
                <w:szCs w:val="21"/>
                <w:lang w:val="en-US" w:eastAsia="zh-CN"/>
              </w:rPr>
              <w:t>包装</w:t>
            </w:r>
            <w:r>
              <w:rPr>
                <w:rFonts w:hint="default" w:ascii="Times New Roman" w:hAnsi="Times New Roman" w:eastAsia="宋体" w:cs="Times New Roman"/>
                <w:b/>
                <w:bCs/>
                <w:kern w:val="0"/>
                <w:position w:val="-5"/>
                <w:sz w:val="21"/>
                <w:szCs w:val="21"/>
                <w:lang w:val="en-US" w:eastAsia="zh-CN"/>
              </w:rPr>
              <w:t>：</w:t>
            </w:r>
            <w:r>
              <w:rPr>
                <w:rFonts w:hint="default" w:ascii="Times New Roman" w:hAnsi="Times New Roman" w:eastAsia="宋体" w:cs="Times New Roman"/>
                <w:b w:val="0"/>
                <w:bCs w:val="0"/>
                <w:kern w:val="0"/>
                <w:position w:val="-5"/>
                <w:sz w:val="21"/>
                <w:szCs w:val="21"/>
                <w:lang w:val="en-US" w:eastAsia="zh-CN"/>
              </w:rPr>
              <w:t>确认合格的产品按要求用PE袋包装后存放在塑料周转箱或纸箱</w:t>
            </w:r>
            <w:r>
              <w:rPr>
                <w:rFonts w:hint="eastAsia" w:ascii="Times New Roman" w:hAnsi="Times New Roman" w:eastAsia="宋体" w:cs="Times New Roman"/>
                <w:b w:val="0"/>
                <w:bCs w:val="0"/>
                <w:kern w:val="0"/>
                <w:position w:val="-5"/>
                <w:sz w:val="21"/>
                <w:szCs w:val="21"/>
                <w:lang w:val="en-US" w:eastAsia="zh-CN"/>
              </w:rPr>
              <w:t>中，存入仓库。此过程会产生废包装物S3，收集后对外出售。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538" w:type="dxa"/>
            <w:noWrap w:val="0"/>
            <w:vAlign w:val="center"/>
          </w:tcPr>
          <w:p>
            <w:pPr>
              <w:pStyle w:val="14"/>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52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highlight w:val="none"/>
              </w:rPr>
            </w:pPr>
            <w:r>
              <w:rPr>
                <w:b/>
                <w:bCs/>
                <w:color w:val="auto"/>
                <w:sz w:val="21"/>
                <w:szCs w:val="21"/>
                <w:highlight w:val="none"/>
              </w:rPr>
              <w:t>一、现有项目概况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1、历次环保手续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Cs w:val="24"/>
                <w:lang w:val="en-US" w:eastAsia="zh-CN"/>
              </w:rPr>
              <w:t>联塑</w:t>
            </w:r>
            <w:r>
              <w:rPr>
                <w:rFonts w:hint="default" w:ascii="Times New Roman" w:hAnsi="Times New Roman" w:cs="Times New Roman"/>
                <w:szCs w:val="24"/>
              </w:rPr>
              <w:t>（苏州）</w:t>
            </w:r>
            <w:r>
              <w:rPr>
                <w:rFonts w:hint="default" w:ascii="Times New Roman" w:hAnsi="Times New Roman" w:cs="Times New Roman"/>
                <w:szCs w:val="24"/>
                <w:lang w:val="en-US" w:eastAsia="zh-CN"/>
              </w:rPr>
              <w:t>精密工程</w:t>
            </w:r>
            <w:r>
              <w:rPr>
                <w:rFonts w:hint="default" w:ascii="Times New Roman" w:hAnsi="Times New Roman" w:cs="Times New Roman"/>
                <w:szCs w:val="24"/>
              </w:rPr>
              <w:t>有限公司</w:t>
            </w:r>
            <w:r>
              <w:rPr>
                <w:rFonts w:hint="default" w:ascii="Times New Roman" w:hAnsi="Times New Roman" w:eastAsia="宋体" w:cs="Times New Roman"/>
                <w:color w:val="auto"/>
                <w:sz w:val="21"/>
                <w:szCs w:val="21"/>
                <w:highlight w:val="none"/>
                <w:lang w:val="en-US" w:eastAsia="zh-CN"/>
              </w:rPr>
              <w:t>现有项目位于苏州工业园区</w:t>
            </w:r>
            <w:r>
              <w:rPr>
                <w:rFonts w:hint="eastAsia" w:ascii="宋体" w:hAnsi="宋体" w:cs="宋体"/>
                <w:szCs w:val="21"/>
                <w:u w:val="none"/>
                <w:lang w:val="en-US" w:eastAsia="zh-CN"/>
              </w:rPr>
              <w:t>星海</w:t>
            </w:r>
            <w:r>
              <w:rPr>
                <w:rFonts w:hint="eastAsia" w:ascii="宋体" w:hAnsi="宋体" w:cs="宋体"/>
                <w:szCs w:val="21"/>
              </w:rPr>
              <w:t>街</w:t>
            </w:r>
            <w:r>
              <w:rPr>
                <w:rFonts w:hint="default" w:ascii="Times New Roman" w:hAnsi="Times New Roman" w:cs="Times New Roman"/>
                <w:szCs w:val="21"/>
                <w:lang w:val="en-US" w:eastAsia="zh-CN"/>
              </w:rPr>
              <w:t>220</w:t>
            </w:r>
            <w:r>
              <w:rPr>
                <w:rFonts w:hint="default" w:ascii="Times New Roman" w:hAnsi="Times New Roman" w:cs="Times New Roman"/>
                <w:szCs w:val="24"/>
              </w:rPr>
              <w:t>号</w:t>
            </w:r>
            <w:r>
              <w:rPr>
                <w:rFonts w:hint="default" w:ascii="Times New Roman" w:hAnsi="Times New Roman" w:eastAsia="宋体" w:cs="Times New Roman"/>
                <w:color w:val="auto"/>
                <w:sz w:val="21"/>
                <w:szCs w:val="21"/>
                <w:highlight w:val="none"/>
                <w:lang w:val="en-US" w:eastAsia="zh-CN"/>
              </w:rPr>
              <w:t>。公司成立至今，从未产生环境风险事故，严格遵守环保相关法律法规，无周边企业的环保投诉。企业现有项目历次环评审批及验收情况见表</w:t>
            </w:r>
            <w:r>
              <w:rPr>
                <w:rFonts w:hint="eastAsia"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kern w:val="2"/>
                <w:sz w:val="21"/>
                <w:lang w:val="en-US" w:eastAsia="zh-CN" w:bidi="ar-SA"/>
              </w:rPr>
              <w:t>表</w:t>
            </w:r>
            <w:r>
              <w:rPr>
                <w:rFonts w:hint="eastAsia" w:ascii="Times New Roman" w:hAnsi="Times New Roman" w:eastAsia="宋体" w:cs="Times New Roman"/>
                <w:b/>
                <w:bCs/>
                <w:color w:val="auto"/>
                <w:kern w:val="2"/>
                <w:sz w:val="21"/>
                <w:lang w:val="en-US" w:eastAsia="zh-CN" w:bidi="ar-SA"/>
              </w:rPr>
              <w:t>2-</w:t>
            </w:r>
            <w:r>
              <w:rPr>
                <w:rFonts w:hint="eastAsia" w:ascii="Times New Roman" w:eastAsia="宋体" w:cs="Times New Roman"/>
                <w:b/>
                <w:bCs/>
                <w:color w:val="auto"/>
                <w:kern w:val="2"/>
                <w:sz w:val="21"/>
                <w:lang w:val="en-US" w:eastAsia="zh-CN" w:bidi="ar-SA"/>
              </w:rPr>
              <w:t>6</w:t>
            </w:r>
            <w:r>
              <w:rPr>
                <w:rFonts w:hint="default" w:ascii="Times New Roman" w:hAnsi="Times New Roman" w:eastAsia="宋体" w:cs="Times New Roman"/>
                <w:b/>
                <w:bCs/>
                <w:color w:val="auto"/>
                <w:kern w:val="2"/>
                <w:sz w:val="21"/>
                <w:lang w:val="en-US" w:eastAsia="zh-CN" w:bidi="ar-SA"/>
              </w:rPr>
              <w:t xml:space="preserve"> </w:t>
            </w:r>
            <w:r>
              <w:rPr>
                <w:rFonts w:hint="eastAsia" w:ascii="Times New Roman" w:hAnsi="Times New Roman" w:eastAsia="宋体" w:cs="Times New Roman"/>
                <w:b/>
                <w:bCs/>
                <w:color w:val="auto"/>
                <w:kern w:val="2"/>
                <w:sz w:val="21"/>
                <w:lang w:val="en-US" w:eastAsia="zh-CN" w:bidi="ar-SA"/>
              </w:rPr>
              <w:t xml:space="preserve"> 已建项目环保手续执行情况</w:t>
            </w:r>
          </w:p>
          <w:tbl>
            <w:tblPr>
              <w:tblStyle w:val="16"/>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6"/>
              <w:gridCol w:w="1952"/>
              <w:gridCol w:w="901"/>
              <w:gridCol w:w="846"/>
              <w:gridCol w:w="2350"/>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3" w:type="pct"/>
                  <w:tcBorders>
                    <w:tl2br w:val="nil"/>
                    <w:tr2bl w:val="nil"/>
                  </w:tcBorders>
                  <w:noWrap w:val="0"/>
                  <w:vAlign w:val="center"/>
                </w:tcPr>
                <w:p>
                  <w:pPr>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b/>
                      <w:bCs w:val="0"/>
                      <w:color w:val="auto"/>
                      <w:sz w:val="18"/>
                      <w:szCs w:val="18"/>
                      <w:highlight w:val="none"/>
                    </w:rPr>
                    <w:t>序号</w:t>
                  </w:r>
                </w:p>
              </w:tc>
              <w:tc>
                <w:tcPr>
                  <w:tcW w:w="1176" w:type="pct"/>
                  <w:tcBorders>
                    <w:tl2br w:val="nil"/>
                    <w:tr2bl w:val="nil"/>
                  </w:tcBorders>
                  <w:noWrap w:val="0"/>
                  <w:vAlign w:val="center"/>
                </w:tcPr>
                <w:p>
                  <w:pPr>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b/>
                      <w:bCs w:val="0"/>
                      <w:color w:val="auto"/>
                      <w:sz w:val="18"/>
                      <w:szCs w:val="18"/>
                      <w:highlight w:val="none"/>
                    </w:rPr>
                    <w:t>项目名称</w:t>
                  </w:r>
                </w:p>
              </w:tc>
              <w:tc>
                <w:tcPr>
                  <w:tcW w:w="543" w:type="pct"/>
                  <w:tcBorders>
                    <w:tl2br w:val="nil"/>
                    <w:tr2bl w:val="nil"/>
                  </w:tcBorders>
                  <w:noWrap w:val="0"/>
                  <w:vAlign w:val="center"/>
                </w:tcPr>
                <w:p>
                  <w:pPr>
                    <w:jc w:val="center"/>
                    <w:rPr>
                      <w:rFonts w:hint="default" w:ascii="Times New Roman" w:hAnsi="Times New Roman" w:cs="Times New Roman"/>
                      <w:b/>
                      <w:bCs w:val="0"/>
                      <w:color w:val="auto"/>
                      <w:sz w:val="18"/>
                      <w:szCs w:val="18"/>
                      <w:highlight w:val="none"/>
                    </w:rPr>
                  </w:pPr>
                  <w:r>
                    <w:rPr>
                      <w:rFonts w:hint="default" w:ascii="Times New Roman" w:hAnsi="Times New Roman" w:cs="Times New Roman"/>
                      <w:b/>
                      <w:bCs w:val="0"/>
                      <w:color w:val="auto"/>
                      <w:sz w:val="18"/>
                      <w:szCs w:val="18"/>
                      <w:highlight w:val="none"/>
                    </w:rPr>
                    <w:t>报告</w:t>
                  </w:r>
                </w:p>
                <w:p>
                  <w:pPr>
                    <w:jc w:val="center"/>
                    <w:rPr>
                      <w:rFonts w:hint="default" w:ascii="Times New Roman" w:hAnsi="Times New Roman" w:cs="Times New Roman"/>
                      <w:b/>
                      <w:bCs w:val="0"/>
                      <w:color w:val="auto"/>
                      <w:kern w:val="2"/>
                      <w:sz w:val="18"/>
                      <w:szCs w:val="18"/>
                      <w:highlight w:val="none"/>
                      <w:lang w:val="en-US" w:eastAsia="zh-CN" w:bidi="ar-SA"/>
                    </w:rPr>
                  </w:pPr>
                  <w:r>
                    <w:rPr>
                      <w:rFonts w:hint="default" w:ascii="Times New Roman" w:hAnsi="Times New Roman" w:cs="Times New Roman"/>
                      <w:b/>
                      <w:bCs w:val="0"/>
                      <w:color w:val="auto"/>
                      <w:sz w:val="18"/>
                      <w:szCs w:val="18"/>
                      <w:highlight w:val="none"/>
                    </w:rPr>
                    <w:t>类型</w:t>
                  </w:r>
                </w:p>
              </w:tc>
              <w:tc>
                <w:tcPr>
                  <w:tcW w:w="510" w:type="pct"/>
                  <w:tcBorders>
                    <w:tl2br w:val="nil"/>
                    <w:tr2bl w:val="nil"/>
                  </w:tcBorders>
                  <w:noWrap w:val="0"/>
                  <w:vAlign w:val="center"/>
                </w:tcPr>
                <w:p>
                  <w:pPr>
                    <w:jc w:val="center"/>
                    <w:rPr>
                      <w:rFonts w:hint="default" w:ascii="Times New Roman" w:hAnsi="Times New Roman" w:cs="Times New Roman"/>
                      <w:b/>
                      <w:bCs w:val="0"/>
                      <w:color w:val="auto"/>
                      <w:kern w:val="2"/>
                      <w:sz w:val="18"/>
                      <w:szCs w:val="18"/>
                      <w:highlight w:val="none"/>
                      <w:lang w:val="en-US" w:eastAsia="zh-CN" w:bidi="ar-SA"/>
                    </w:rPr>
                  </w:pPr>
                  <w:r>
                    <w:rPr>
                      <w:rFonts w:hint="default" w:ascii="Times New Roman" w:hAnsi="Times New Roman" w:cs="Times New Roman"/>
                      <w:b/>
                      <w:bCs w:val="0"/>
                      <w:color w:val="auto"/>
                      <w:sz w:val="18"/>
                      <w:szCs w:val="18"/>
                      <w:highlight w:val="none"/>
                    </w:rPr>
                    <w:t>产品产能</w:t>
                  </w:r>
                </w:p>
              </w:tc>
              <w:tc>
                <w:tcPr>
                  <w:tcW w:w="1416" w:type="pct"/>
                  <w:tcBorders>
                    <w:tl2br w:val="nil"/>
                    <w:tr2bl w:val="nil"/>
                  </w:tcBorders>
                  <w:noWrap w:val="0"/>
                  <w:vAlign w:val="center"/>
                </w:tcPr>
                <w:p>
                  <w:pPr>
                    <w:jc w:val="center"/>
                    <w:rPr>
                      <w:rFonts w:hint="default" w:ascii="Times New Roman" w:hAnsi="Times New Roman" w:cs="Times New Roman"/>
                      <w:b/>
                      <w:bCs w:val="0"/>
                      <w:color w:val="auto"/>
                      <w:kern w:val="2"/>
                      <w:sz w:val="18"/>
                      <w:szCs w:val="18"/>
                      <w:highlight w:val="none"/>
                      <w:lang w:val="en-US" w:eastAsia="zh-CN" w:bidi="ar-SA"/>
                    </w:rPr>
                  </w:pPr>
                  <w:r>
                    <w:rPr>
                      <w:rFonts w:hint="default" w:ascii="Times New Roman" w:hAnsi="Times New Roman" w:cs="Times New Roman"/>
                      <w:b/>
                      <w:bCs w:val="0"/>
                      <w:color w:val="auto"/>
                      <w:sz w:val="18"/>
                      <w:szCs w:val="18"/>
                      <w:highlight w:val="none"/>
                    </w:rPr>
                    <w:t>审批</w:t>
                  </w:r>
                  <w:r>
                    <w:rPr>
                      <w:rFonts w:hint="default" w:ascii="Times New Roman" w:hAnsi="Times New Roman" w:cs="Times New Roman"/>
                      <w:b/>
                      <w:bCs w:val="0"/>
                      <w:color w:val="auto"/>
                      <w:sz w:val="18"/>
                      <w:szCs w:val="18"/>
                      <w:highlight w:val="none"/>
                      <w:lang w:eastAsia="zh-CN"/>
                    </w:rPr>
                    <w:t>情况</w:t>
                  </w:r>
                </w:p>
              </w:tc>
              <w:tc>
                <w:tcPr>
                  <w:tcW w:w="1119" w:type="pct"/>
                  <w:tcBorders>
                    <w:tl2br w:val="nil"/>
                    <w:tr2bl w:val="nil"/>
                  </w:tcBorders>
                  <w:noWrap w:val="0"/>
                  <w:vAlign w:val="center"/>
                </w:tcPr>
                <w:p>
                  <w:pPr>
                    <w:jc w:val="center"/>
                    <w:rPr>
                      <w:rFonts w:hint="default" w:ascii="Times New Roman" w:hAnsi="Times New Roman" w:cs="Times New Roman"/>
                      <w:b/>
                      <w:bCs w:val="0"/>
                      <w:color w:val="auto"/>
                      <w:kern w:val="2"/>
                      <w:sz w:val="18"/>
                      <w:szCs w:val="18"/>
                      <w:highlight w:val="yellow"/>
                      <w:lang w:val="en-US" w:eastAsia="zh-CN" w:bidi="ar-SA"/>
                    </w:rPr>
                  </w:pPr>
                  <w:r>
                    <w:rPr>
                      <w:rFonts w:hint="default" w:ascii="Times New Roman" w:hAnsi="Times New Roman" w:cs="Times New Roman"/>
                      <w:b/>
                      <w:bCs w:val="0"/>
                      <w:color w:val="auto"/>
                      <w:sz w:val="18"/>
                      <w:szCs w:val="18"/>
                      <w:highlight w:val="none"/>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3"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17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sz w:val="18"/>
                      <w:szCs w:val="18"/>
                      <w:lang w:val="en-US" w:eastAsia="zh-CN"/>
                    </w:rPr>
                    <w:t>联塑</w:t>
                  </w:r>
                  <w:r>
                    <w:rPr>
                      <w:rFonts w:hint="default" w:ascii="Times New Roman" w:hAnsi="Times New Roman" w:cs="Times New Roman"/>
                      <w:sz w:val="18"/>
                      <w:szCs w:val="18"/>
                    </w:rPr>
                    <w:t>（苏州）</w:t>
                  </w:r>
                  <w:r>
                    <w:rPr>
                      <w:rFonts w:hint="default" w:ascii="Times New Roman" w:hAnsi="Times New Roman" w:cs="Times New Roman"/>
                      <w:sz w:val="18"/>
                      <w:szCs w:val="18"/>
                      <w:lang w:val="en-US" w:eastAsia="zh-CN"/>
                    </w:rPr>
                    <w:t>精密工程</w:t>
                  </w:r>
                  <w:r>
                    <w:rPr>
                      <w:rFonts w:hint="default" w:ascii="Times New Roman" w:hAnsi="Times New Roman" w:cs="Times New Roman"/>
                      <w:sz w:val="18"/>
                      <w:szCs w:val="18"/>
                    </w:rPr>
                    <w:t>有限公司</w:t>
                  </w:r>
                  <w:r>
                    <w:rPr>
                      <w:rFonts w:hint="eastAsia" w:ascii="Times New Roman" w:hAnsi="Times New Roman" w:cs="Times New Roman"/>
                      <w:sz w:val="18"/>
                      <w:szCs w:val="18"/>
                      <w:lang w:val="en-US" w:eastAsia="zh-CN"/>
                    </w:rPr>
                    <w:t>项目</w:t>
                  </w:r>
                </w:p>
              </w:tc>
              <w:tc>
                <w:tcPr>
                  <w:tcW w:w="543" w:type="pct"/>
                  <w:tcBorders>
                    <w:tl2br w:val="nil"/>
                    <w:tr2bl w:val="nil"/>
                  </w:tcBorders>
                  <w:noWrap w:val="0"/>
                  <w:vAlign w:val="center"/>
                </w:tcPr>
                <w:p>
                  <w:pPr>
                    <w:widowControl/>
                    <w:jc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报告表</w:t>
                  </w:r>
                </w:p>
              </w:tc>
              <w:tc>
                <w:tcPr>
                  <w:tcW w:w="510" w:type="pct"/>
                  <w:tcBorders>
                    <w:tl2br w:val="nil"/>
                    <w:tr2bl w:val="nil"/>
                  </w:tcBorders>
                  <w:noWrap w:val="0"/>
                  <w:vAlign w:val="center"/>
                </w:tcPr>
                <w:p>
                  <w:pPr>
                    <w:widowControl/>
                    <w:jc w:val="center"/>
                    <w:rPr>
                      <w:rFonts w:hint="default" w:ascii="Times New Roman" w:hAnsi="Times New Roman"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1416" w:type="pct"/>
                  <w:tcBorders>
                    <w:tl2br w:val="nil"/>
                    <w:tr2bl w:val="nil"/>
                  </w:tcBorders>
                  <w:noWrap w:val="0"/>
                  <w:vAlign w:val="center"/>
                </w:tcPr>
                <w:p>
                  <w:pPr>
                    <w:widowControl/>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bidi="ar"/>
                    </w:rPr>
                    <w:t>20</w:t>
                  </w:r>
                  <w:r>
                    <w:rPr>
                      <w:rFonts w:hint="eastAsia" w:ascii="Times New Roman" w:hAnsi="Times New Roman" w:eastAsia="宋体" w:cs="Times New Roman"/>
                      <w:color w:val="auto"/>
                      <w:kern w:val="0"/>
                      <w:sz w:val="18"/>
                      <w:szCs w:val="18"/>
                      <w:highlight w:val="none"/>
                      <w:lang w:val="en-US" w:eastAsia="zh-CN" w:bidi="ar"/>
                    </w:rPr>
                    <w:t>02</w:t>
                  </w:r>
                  <w:r>
                    <w:rPr>
                      <w:rFonts w:hint="default" w:ascii="Times New Roman" w:hAnsi="Times New Roman" w:eastAsia="宋体" w:cs="Times New Roman"/>
                      <w:color w:val="auto"/>
                      <w:kern w:val="0"/>
                      <w:sz w:val="18"/>
                      <w:szCs w:val="18"/>
                      <w:highlight w:val="none"/>
                      <w:lang w:bidi="ar"/>
                    </w:rPr>
                    <w:t>年</w:t>
                  </w:r>
                  <w:r>
                    <w:rPr>
                      <w:rFonts w:hint="default" w:ascii="Times New Roman" w:hAnsi="Times New Roman" w:eastAsia="宋体" w:cs="Times New Roman"/>
                      <w:color w:val="auto"/>
                      <w:kern w:val="0"/>
                      <w:sz w:val="18"/>
                      <w:szCs w:val="18"/>
                      <w:highlight w:val="none"/>
                      <w:lang w:val="en-US" w:eastAsia="zh-CN" w:bidi="ar"/>
                    </w:rPr>
                    <w:t>0</w:t>
                  </w:r>
                  <w:r>
                    <w:rPr>
                      <w:rFonts w:hint="eastAsia" w:cs="Times New Roman"/>
                      <w:color w:val="auto"/>
                      <w:kern w:val="0"/>
                      <w:sz w:val="18"/>
                      <w:szCs w:val="18"/>
                      <w:highlight w:val="none"/>
                      <w:lang w:val="en-US" w:eastAsia="zh-CN" w:bidi="ar"/>
                    </w:rPr>
                    <w:t>8</w:t>
                  </w:r>
                  <w:r>
                    <w:rPr>
                      <w:rFonts w:hint="default" w:ascii="Times New Roman" w:hAnsi="Times New Roman" w:eastAsia="宋体" w:cs="Times New Roman"/>
                      <w:color w:val="auto"/>
                      <w:kern w:val="0"/>
                      <w:sz w:val="18"/>
                      <w:szCs w:val="18"/>
                      <w:highlight w:val="none"/>
                      <w:lang w:bidi="ar"/>
                    </w:rPr>
                    <w:t>月</w:t>
                  </w:r>
                  <w:r>
                    <w:rPr>
                      <w:rFonts w:hint="eastAsia" w:cs="Times New Roman"/>
                      <w:color w:val="auto"/>
                      <w:kern w:val="0"/>
                      <w:sz w:val="18"/>
                      <w:szCs w:val="18"/>
                      <w:highlight w:val="none"/>
                      <w:lang w:val="en-US" w:eastAsia="zh-CN" w:bidi="ar"/>
                    </w:rPr>
                    <w:t>5</w:t>
                  </w:r>
                  <w:r>
                    <w:rPr>
                      <w:rFonts w:hint="default" w:ascii="Times New Roman" w:hAnsi="Times New Roman" w:eastAsia="宋体" w:cs="Times New Roman"/>
                      <w:color w:val="auto"/>
                      <w:kern w:val="0"/>
                      <w:sz w:val="18"/>
                      <w:szCs w:val="18"/>
                      <w:highlight w:val="none"/>
                      <w:lang w:eastAsia="zh-CN" w:bidi="ar"/>
                    </w:rPr>
                    <w:t>日</w:t>
                  </w:r>
                  <w:r>
                    <w:rPr>
                      <w:rFonts w:hint="default" w:ascii="Times New Roman" w:hAnsi="Times New Roman" w:eastAsia="宋体" w:cs="Times New Roman"/>
                      <w:color w:val="auto"/>
                      <w:kern w:val="0"/>
                      <w:sz w:val="18"/>
                      <w:szCs w:val="18"/>
                      <w:highlight w:val="none"/>
                      <w:lang w:bidi="ar"/>
                    </w:rPr>
                    <w:t>通过审批，</w:t>
                  </w:r>
                  <w:r>
                    <w:rPr>
                      <w:rFonts w:hint="default" w:ascii="Times New Roman" w:hAnsi="Times New Roman" w:eastAsia="宋体" w:cs="Times New Roman"/>
                      <w:color w:val="auto"/>
                      <w:kern w:val="0"/>
                      <w:sz w:val="18"/>
                      <w:szCs w:val="18"/>
                      <w:highlight w:val="none"/>
                      <w:lang w:eastAsia="zh-CN" w:bidi="ar"/>
                    </w:rPr>
                    <w:t>档案编号：</w:t>
                  </w:r>
                  <w:r>
                    <w:rPr>
                      <w:rFonts w:hint="eastAsia" w:ascii="Times New Roman" w:hAnsi="Times New Roman" w:eastAsia="宋体" w:cs="Times New Roman"/>
                      <w:color w:val="auto"/>
                      <w:kern w:val="0"/>
                      <w:sz w:val="18"/>
                      <w:szCs w:val="18"/>
                      <w:highlight w:val="none"/>
                      <w:lang w:val="en-US" w:eastAsia="zh-CN" w:bidi="ar"/>
                    </w:rPr>
                    <w:t>苏园环复字【2002】109号</w:t>
                  </w:r>
                </w:p>
              </w:tc>
              <w:tc>
                <w:tcPr>
                  <w:tcW w:w="1119" w:type="pct"/>
                  <w:tcBorders>
                    <w:tl2br w:val="nil"/>
                    <w:tr2bl w:val="nil"/>
                  </w:tcBorders>
                  <w:noWrap w:val="0"/>
                  <w:vAlign w:val="center"/>
                </w:tcPr>
                <w:p>
                  <w:pPr>
                    <w:widowControl/>
                    <w:jc w:val="center"/>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eastAsia="宋体" w:cs="Times New Roman"/>
                      <w:color w:val="auto"/>
                      <w:kern w:val="0"/>
                      <w:sz w:val="18"/>
                      <w:szCs w:val="18"/>
                      <w:highlight w:val="none"/>
                      <w:lang w:val="en-US" w:eastAsia="zh-CN" w:bidi="ar"/>
                    </w:rPr>
                    <w:t>20</w:t>
                  </w:r>
                  <w:r>
                    <w:rPr>
                      <w:rFonts w:hint="eastAsia" w:ascii="Times New Roman" w:hAnsi="Times New Roman" w:eastAsia="宋体" w:cs="Times New Roman"/>
                      <w:color w:val="auto"/>
                      <w:kern w:val="0"/>
                      <w:sz w:val="18"/>
                      <w:szCs w:val="18"/>
                      <w:highlight w:val="none"/>
                      <w:lang w:val="en-US" w:eastAsia="zh-CN" w:bidi="ar"/>
                    </w:rPr>
                    <w:t>1</w:t>
                  </w:r>
                  <w:r>
                    <w:rPr>
                      <w:rFonts w:hint="eastAsia" w:cs="Times New Roman"/>
                      <w:color w:val="auto"/>
                      <w:kern w:val="0"/>
                      <w:sz w:val="18"/>
                      <w:szCs w:val="18"/>
                      <w:highlight w:val="none"/>
                      <w:lang w:val="en-US" w:eastAsia="zh-CN" w:bidi="ar"/>
                    </w:rPr>
                    <w:t>7</w:t>
                  </w:r>
                  <w:r>
                    <w:rPr>
                      <w:rFonts w:hint="default" w:ascii="Times New Roman" w:hAnsi="Times New Roman" w:eastAsia="宋体" w:cs="Times New Roman"/>
                      <w:color w:val="auto"/>
                      <w:kern w:val="0"/>
                      <w:sz w:val="18"/>
                      <w:szCs w:val="18"/>
                      <w:highlight w:val="none"/>
                      <w:lang w:val="en-US" w:eastAsia="zh-CN" w:bidi="ar"/>
                    </w:rPr>
                    <w:t>年</w:t>
                  </w:r>
                  <w:r>
                    <w:rPr>
                      <w:rFonts w:hint="eastAsia" w:cs="Times New Roman"/>
                      <w:color w:val="auto"/>
                      <w:kern w:val="0"/>
                      <w:sz w:val="18"/>
                      <w:szCs w:val="18"/>
                      <w:highlight w:val="none"/>
                      <w:lang w:val="en-US" w:eastAsia="zh-CN" w:bidi="ar"/>
                    </w:rPr>
                    <w:t>4</w:t>
                  </w:r>
                  <w:r>
                    <w:rPr>
                      <w:rFonts w:hint="default" w:ascii="Times New Roman" w:hAnsi="Times New Roman" w:eastAsia="宋体" w:cs="Times New Roman"/>
                      <w:color w:val="auto"/>
                      <w:kern w:val="0"/>
                      <w:sz w:val="18"/>
                      <w:szCs w:val="18"/>
                      <w:highlight w:val="none"/>
                      <w:lang w:val="en-US" w:eastAsia="zh-CN" w:bidi="ar"/>
                    </w:rPr>
                    <w:t>月</w:t>
                  </w:r>
                  <w:r>
                    <w:rPr>
                      <w:rFonts w:hint="eastAsia" w:cs="Times New Roman"/>
                      <w:color w:val="auto"/>
                      <w:kern w:val="0"/>
                      <w:sz w:val="18"/>
                      <w:szCs w:val="18"/>
                      <w:highlight w:val="none"/>
                      <w:lang w:val="en-US" w:eastAsia="zh-CN" w:bidi="ar"/>
                    </w:rPr>
                    <w:t>28</w:t>
                  </w:r>
                  <w:r>
                    <w:rPr>
                      <w:rFonts w:hint="default" w:ascii="Times New Roman" w:hAnsi="Times New Roman" w:eastAsia="宋体" w:cs="Times New Roman"/>
                      <w:color w:val="auto"/>
                      <w:kern w:val="0"/>
                      <w:sz w:val="18"/>
                      <w:szCs w:val="18"/>
                      <w:highlight w:val="none"/>
                      <w:lang w:val="en-US" w:eastAsia="zh-CN" w:bidi="ar"/>
                    </w:rPr>
                    <w:t>日通过验收</w:t>
                  </w:r>
                  <w:r>
                    <w:rPr>
                      <w:rFonts w:hint="eastAsia" w:ascii="Times New Roman" w:hAnsi="Times New Roman" w:eastAsia="宋体" w:cs="Times New Roman"/>
                      <w:color w:val="auto"/>
                      <w:kern w:val="0"/>
                      <w:sz w:val="18"/>
                      <w:szCs w:val="18"/>
                      <w:highlight w:val="none"/>
                      <w:lang w:val="en-US" w:eastAsia="zh-CN" w:bidi="ar"/>
                    </w:rPr>
                    <w:t>，</w:t>
                  </w:r>
                  <w:r>
                    <w:rPr>
                      <w:rFonts w:hint="default" w:ascii="Times New Roman" w:hAnsi="Times New Roman" w:eastAsia="宋体" w:cs="Times New Roman"/>
                      <w:color w:val="auto"/>
                      <w:kern w:val="0"/>
                      <w:sz w:val="18"/>
                      <w:szCs w:val="18"/>
                      <w:highlight w:val="none"/>
                      <w:lang w:eastAsia="zh-CN" w:bidi="ar"/>
                    </w:rPr>
                    <w:t>档案编号：</w:t>
                  </w:r>
                  <w:r>
                    <w:rPr>
                      <w:rFonts w:hint="default" w:ascii="Times New Roman" w:hAnsi="Times New Roman" w:eastAsia="宋体" w:cs="Times New Roman"/>
                      <w:color w:val="auto"/>
                      <w:kern w:val="0"/>
                      <w:sz w:val="18"/>
                      <w:szCs w:val="18"/>
                      <w:highlight w:val="none"/>
                      <w:lang w:val="en-US" w:eastAsia="zh-CN" w:bidi="ar"/>
                    </w:rPr>
                    <w:t>00</w:t>
                  </w:r>
                  <w:r>
                    <w:rPr>
                      <w:rFonts w:hint="eastAsia" w:cs="Times New Roman"/>
                      <w:color w:val="auto"/>
                      <w:kern w:val="0"/>
                      <w:sz w:val="18"/>
                      <w:szCs w:val="18"/>
                      <w:highlight w:val="none"/>
                      <w:lang w:val="en-US" w:eastAsia="zh-CN" w:bidi="ar"/>
                    </w:rPr>
                    <w:t>08915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3"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176" w:type="pct"/>
                  <w:tcBorders>
                    <w:tl2br w:val="nil"/>
                    <w:tr2bl w:val="nil"/>
                  </w:tcBorders>
                  <w:noWrap w:val="0"/>
                  <w:vAlign w:val="center"/>
                </w:tcPr>
                <w:p>
                  <w:pPr>
                    <w:widowControl/>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联塑（苏州）精密工程有限公司注塑项目新建排气筒</w:t>
                  </w:r>
                </w:p>
              </w:tc>
              <w:tc>
                <w:tcPr>
                  <w:tcW w:w="543" w:type="pct"/>
                  <w:tcBorders>
                    <w:tl2br w:val="nil"/>
                    <w:tr2bl w:val="nil"/>
                  </w:tcBorders>
                  <w:noWrap w:val="0"/>
                  <w:vAlign w:val="center"/>
                </w:tcPr>
                <w:p>
                  <w:pPr>
                    <w:widowControl/>
                    <w:jc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登记表</w:t>
                  </w:r>
                </w:p>
              </w:tc>
              <w:tc>
                <w:tcPr>
                  <w:tcW w:w="510" w:type="pct"/>
                  <w:tcBorders>
                    <w:tl2br w:val="nil"/>
                    <w:tr2bl w:val="nil"/>
                  </w:tcBorders>
                  <w:noWrap w:val="0"/>
                  <w:vAlign w:val="center"/>
                </w:tcPr>
                <w:p>
                  <w:pPr>
                    <w:widowControl/>
                    <w:jc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w:t>
                  </w:r>
                </w:p>
              </w:tc>
              <w:tc>
                <w:tcPr>
                  <w:tcW w:w="1416" w:type="pct"/>
                  <w:tcBorders>
                    <w:tl2br w:val="nil"/>
                    <w:tr2bl w:val="nil"/>
                  </w:tcBorders>
                  <w:noWrap w:val="0"/>
                  <w:vAlign w:val="center"/>
                </w:tcPr>
                <w:p>
                  <w:pPr>
                    <w:widowControl/>
                    <w:jc w:val="center"/>
                    <w:rPr>
                      <w:rFonts w:hint="default" w:ascii="Times New Roman" w:hAnsi="Times New Roman" w:eastAsia="宋体" w:cs="Times New Roman"/>
                      <w:color w:val="auto"/>
                      <w:kern w:val="0"/>
                      <w:sz w:val="18"/>
                      <w:szCs w:val="18"/>
                      <w:highlight w:val="none"/>
                      <w:lang w:bidi="ar"/>
                    </w:rPr>
                  </w:pPr>
                  <w:r>
                    <w:rPr>
                      <w:rFonts w:hint="eastAsia" w:cs="Times New Roman"/>
                      <w:color w:val="auto"/>
                      <w:kern w:val="0"/>
                      <w:sz w:val="18"/>
                      <w:szCs w:val="18"/>
                      <w:highlight w:val="none"/>
                      <w:lang w:val="en-US" w:eastAsia="zh-CN" w:bidi="ar"/>
                    </w:rPr>
                    <w:t>2021年6月</w:t>
                  </w:r>
                  <w:r>
                    <w:rPr>
                      <w:rFonts w:hint="default" w:ascii="Times New Roman" w:hAnsi="Times New Roman" w:eastAsia="宋体" w:cs="Times New Roman"/>
                      <w:color w:val="auto"/>
                      <w:kern w:val="0"/>
                      <w:sz w:val="18"/>
                      <w:szCs w:val="18"/>
                      <w:highlight w:val="none"/>
                      <w:lang w:val="en-US" w:eastAsia="zh-CN" w:bidi="ar"/>
                    </w:rPr>
                    <w:t>完成备案，备案号：20213205000100000266</w:t>
                  </w:r>
                </w:p>
              </w:tc>
              <w:tc>
                <w:tcPr>
                  <w:tcW w:w="1119" w:type="pct"/>
                  <w:tcBorders>
                    <w:tl2br w:val="nil"/>
                    <w:tr2bl w:val="nil"/>
                  </w:tcBorders>
                  <w:noWrap w:val="0"/>
                  <w:vAlign w:val="center"/>
                </w:tcPr>
                <w:p>
                  <w:pPr>
                    <w:widowControl/>
                    <w:jc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3" w:type="pct"/>
                  <w:tcBorders>
                    <w:tl2br w:val="nil"/>
                    <w:tr2bl w:val="nil"/>
                  </w:tcBorders>
                  <w:noWrap w:val="0"/>
                  <w:vAlign w:val="center"/>
                </w:tcPr>
                <w:p>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1176" w:type="pct"/>
                  <w:tcBorders>
                    <w:tl2br w:val="nil"/>
                    <w:tr2bl w:val="nil"/>
                  </w:tcBorders>
                  <w:noWrap w:val="0"/>
                  <w:vAlign w:val="center"/>
                </w:tcPr>
                <w:p>
                  <w:pPr>
                    <w:keepNext w:val="0"/>
                    <w:keepLines w:val="0"/>
                    <w:widowControl/>
                    <w:suppressLineNumbers w:val="0"/>
                    <w:jc w:val="left"/>
                    <w:rPr>
                      <w:rFonts w:hint="default" w:ascii="Times New Roman" w:hAnsi="Times New Roman" w:cs="Times New Roman"/>
                      <w:sz w:val="18"/>
                      <w:szCs w:val="18"/>
                      <w:lang w:val="en-US" w:eastAsia="zh-CN"/>
                    </w:rPr>
                  </w:pPr>
                  <w:r>
                    <w:rPr>
                      <w:rFonts w:hint="eastAsia" w:ascii="宋体" w:hAnsi="宋体" w:eastAsia="宋体" w:cs="宋体"/>
                      <w:color w:val="000000"/>
                      <w:kern w:val="0"/>
                      <w:sz w:val="18"/>
                      <w:szCs w:val="18"/>
                      <w:lang w:val="en-US" w:eastAsia="zh-CN" w:bidi="ar"/>
                    </w:rPr>
                    <w:t xml:space="preserve">联塑（苏州）精密工程有限公司塑料制品 </w:t>
                  </w:r>
                  <w:r>
                    <w:rPr>
                      <w:rFonts w:hint="default" w:ascii="Times New Roman" w:hAnsi="Times New Roman" w:eastAsia="宋体" w:cs="Times New Roman"/>
                      <w:color w:val="000000"/>
                      <w:kern w:val="0"/>
                      <w:sz w:val="18"/>
                      <w:szCs w:val="18"/>
                      <w:lang w:val="en-US" w:eastAsia="zh-CN" w:bidi="ar"/>
                    </w:rPr>
                    <w:t xml:space="preserve">34 </w:t>
                  </w:r>
                  <w:r>
                    <w:rPr>
                      <w:rFonts w:hint="eastAsia" w:ascii="宋体" w:hAnsi="宋体" w:eastAsia="宋体" w:cs="宋体"/>
                      <w:color w:val="000000"/>
                      <w:kern w:val="0"/>
                      <w:sz w:val="18"/>
                      <w:szCs w:val="18"/>
                      <w:lang w:val="en-US" w:eastAsia="zh-CN" w:bidi="ar"/>
                    </w:rPr>
                    <w:t>吨扩建项目</w:t>
                  </w:r>
                </w:p>
              </w:tc>
              <w:tc>
                <w:tcPr>
                  <w:tcW w:w="900" w:type="dxa"/>
                  <w:tcBorders>
                    <w:tl2br w:val="nil"/>
                    <w:tr2bl w:val="nil"/>
                  </w:tcBorders>
                  <w:noWrap w:val="0"/>
                  <w:vAlign w:val="center"/>
                </w:tcPr>
                <w:p>
                  <w:pPr>
                    <w:widowControl/>
                    <w:jc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报告表</w:t>
                  </w:r>
                </w:p>
              </w:tc>
              <w:tc>
                <w:tcPr>
                  <w:tcW w:w="845" w:type="dxa"/>
                  <w:tcBorders>
                    <w:tl2br w:val="nil"/>
                    <w:tr2bl w:val="nil"/>
                  </w:tcBorders>
                  <w:noWrap w:val="0"/>
                  <w:vAlign w:val="center"/>
                </w:tcPr>
                <w:p>
                  <w:pPr>
                    <w:widowControl/>
                    <w:jc w:val="center"/>
                    <w:rPr>
                      <w:rFonts w:hint="eastAsia"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2347" w:type="dxa"/>
                  <w:tcBorders>
                    <w:tl2br w:val="nil"/>
                    <w:tr2bl w:val="nil"/>
                  </w:tcBorders>
                  <w:noWrap w:val="0"/>
                  <w:vAlign w:val="center"/>
                </w:tcPr>
                <w:p>
                  <w:pPr>
                    <w:widowControl/>
                    <w:jc w:val="center"/>
                    <w:rPr>
                      <w:rFonts w:hint="default"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20</w:t>
                  </w:r>
                  <w:r>
                    <w:rPr>
                      <w:rFonts w:hint="eastAsia" w:cs="Times New Roman"/>
                      <w:color w:val="auto"/>
                      <w:kern w:val="0"/>
                      <w:sz w:val="18"/>
                      <w:szCs w:val="18"/>
                      <w:highlight w:val="none"/>
                      <w:lang w:val="en-US" w:eastAsia="zh-CN" w:bidi="ar"/>
                    </w:rPr>
                    <w:t>21</w:t>
                  </w:r>
                  <w:r>
                    <w:rPr>
                      <w:rFonts w:hint="default" w:ascii="Times New Roman" w:hAnsi="Times New Roman" w:eastAsia="宋体" w:cs="Times New Roman"/>
                      <w:color w:val="auto"/>
                      <w:kern w:val="0"/>
                      <w:sz w:val="18"/>
                      <w:szCs w:val="18"/>
                      <w:highlight w:val="none"/>
                      <w:lang w:bidi="ar"/>
                    </w:rPr>
                    <w:t>年</w:t>
                  </w:r>
                  <w:r>
                    <w:rPr>
                      <w:rFonts w:hint="eastAsia" w:cs="Times New Roman"/>
                      <w:color w:val="auto"/>
                      <w:kern w:val="0"/>
                      <w:sz w:val="18"/>
                      <w:szCs w:val="18"/>
                      <w:highlight w:val="none"/>
                      <w:lang w:val="en-US" w:eastAsia="zh-CN" w:bidi="ar"/>
                    </w:rPr>
                    <w:t>7</w:t>
                  </w:r>
                  <w:r>
                    <w:rPr>
                      <w:rFonts w:hint="default" w:ascii="Times New Roman" w:hAnsi="Times New Roman" w:eastAsia="宋体" w:cs="Times New Roman"/>
                      <w:color w:val="auto"/>
                      <w:kern w:val="0"/>
                      <w:sz w:val="18"/>
                      <w:szCs w:val="18"/>
                      <w:highlight w:val="none"/>
                      <w:lang w:bidi="ar"/>
                    </w:rPr>
                    <w:t>月通过审批，</w:t>
                  </w:r>
                  <w:r>
                    <w:rPr>
                      <w:rFonts w:hint="eastAsia" w:cs="Times New Roman"/>
                      <w:color w:val="auto"/>
                      <w:kern w:val="0"/>
                      <w:sz w:val="18"/>
                      <w:szCs w:val="18"/>
                      <w:highlight w:val="none"/>
                      <w:lang w:val="en-US" w:eastAsia="zh-CN" w:bidi="ar"/>
                    </w:rPr>
                    <w:t>项目</w:t>
                  </w:r>
                  <w:r>
                    <w:rPr>
                      <w:rFonts w:hint="default" w:ascii="Times New Roman" w:hAnsi="Times New Roman" w:eastAsia="宋体" w:cs="Times New Roman"/>
                      <w:color w:val="auto"/>
                      <w:kern w:val="0"/>
                      <w:sz w:val="18"/>
                      <w:szCs w:val="18"/>
                      <w:highlight w:val="none"/>
                      <w:lang w:eastAsia="zh-CN" w:bidi="ar"/>
                    </w:rPr>
                    <w:t>编号：</w:t>
                  </w:r>
                  <w:r>
                    <w:rPr>
                      <w:rFonts w:hint="eastAsia" w:cs="Times New Roman"/>
                      <w:color w:val="auto"/>
                      <w:kern w:val="0"/>
                      <w:sz w:val="18"/>
                      <w:szCs w:val="18"/>
                      <w:highlight w:val="none"/>
                      <w:lang w:val="en-US" w:eastAsia="zh-CN" w:bidi="ar"/>
                    </w:rPr>
                    <w:t>C20210286</w:t>
                  </w:r>
                </w:p>
              </w:tc>
              <w:tc>
                <w:tcPr>
                  <w:tcW w:w="1119" w:type="pct"/>
                  <w:tcBorders>
                    <w:tl2br w:val="nil"/>
                    <w:tr2bl w:val="nil"/>
                  </w:tcBorders>
                  <w:noWrap w:val="0"/>
                  <w:vAlign w:val="center"/>
                </w:tcPr>
                <w:p>
                  <w:pPr>
                    <w:widowControl/>
                    <w:jc w:val="center"/>
                    <w:rPr>
                      <w:rFonts w:hint="default"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取消建设</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2、排污许可证情况</w:t>
            </w:r>
          </w:p>
          <w:p>
            <w:pPr>
              <w:pStyle w:val="29"/>
              <w:adjustRightInd w:val="0"/>
              <w:snapToGrid w:val="0"/>
              <w:spacing w:line="360" w:lineRule="auto"/>
              <w:jc w:val="left"/>
              <w:rPr>
                <w:rFonts w:hint="default" w:ascii="Times New Roman" w:hAnsi="Times New Roman" w:cs="Times New Roman"/>
                <w:color w:val="auto"/>
                <w:sz w:val="21"/>
                <w:szCs w:val="21"/>
                <w:highlight w:val="yellow"/>
                <w:lang w:val="en-US" w:eastAsia="zh-CN"/>
              </w:rPr>
            </w:pPr>
            <w:r>
              <w:rPr>
                <w:rFonts w:hint="default"/>
                <w:color w:val="auto"/>
                <w:sz w:val="21"/>
                <w:szCs w:val="21"/>
                <w:highlight w:val="none"/>
                <w:lang w:val="en-US" w:eastAsia="zh-CN"/>
              </w:rPr>
              <w:t>根据《固定污染源</w:t>
            </w:r>
            <w:r>
              <w:rPr>
                <w:rFonts w:hint="default" w:ascii="Times New Roman" w:hAnsi="Times New Roman" w:cs="Times New Roman"/>
                <w:color w:val="auto"/>
                <w:sz w:val="21"/>
                <w:szCs w:val="21"/>
                <w:highlight w:val="none"/>
                <w:lang w:val="en-US" w:eastAsia="zh-CN"/>
              </w:rPr>
              <w:t>排污许可分类管理名录（2019年版）》，本项目属于“二十</w:t>
            </w:r>
            <w:r>
              <w:rPr>
                <w:rFonts w:hint="eastAsia" w:ascii="Times New Roman" w:hAnsi="Times New Roman" w:cs="Times New Roman"/>
                <w:color w:val="auto"/>
                <w:sz w:val="21"/>
                <w:szCs w:val="21"/>
                <w:highlight w:val="none"/>
                <w:lang w:val="en-US" w:eastAsia="zh-CN"/>
              </w:rPr>
              <w:t>六</w:t>
            </w:r>
            <w:r>
              <w:rPr>
                <w:rFonts w:hint="default" w:ascii="Times New Roman" w:hAnsi="Times New Roman" w:cs="Times New Roman"/>
                <w:color w:val="auto"/>
                <w:sz w:val="21"/>
                <w:szCs w:val="21"/>
                <w:highlight w:val="none"/>
                <w:lang w:val="en-US" w:eastAsia="zh-CN"/>
              </w:rPr>
              <w:t>、橡胶和塑料制品业、塑料零件及其他塑料制品制造”，属于实施</w:t>
            </w:r>
            <w:r>
              <w:rPr>
                <w:rFonts w:hint="eastAsia" w:ascii="Times New Roman" w:hAnsi="Times New Roman" w:cs="Times New Roman"/>
                <w:color w:val="auto"/>
                <w:sz w:val="21"/>
                <w:szCs w:val="21"/>
                <w:highlight w:val="none"/>
                <w:lang w:val="en-US" w:eastAsia="zh-CN"/>
              </w:rPr>
              <w:t>登记</w:t>
            </w:r>
            <w:r>
              <w:rPr>
                <w:rFonts w:hint="default" w:ascii="Times New Roman" w:hAnsi="Times New Roman" w:cs="Times New Roman"/>
                <w:color w:val="auto"/>
                <w:sz w:val="21"/>
                <w:szCs w:val="21"/>
                <w:highlight w:val="none"/>
                <w:lang w:val="en-US" w:eastAsia="zh-CN"/>
              </w:rPr>
              <w:t>管理的企业，企业已取得国家排污许可证固定污染源排污登记回执（登记编号：913205947344140779001W），有效期自20</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年</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日至202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年</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lang w:val="en-US" w:eastAsia="zh-CN"/>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3、现有工艺流程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3.1 塑料零部件生产工艺流程</w:t>
            </w:r>
          </w:p>
          <w:p>
            <w:r>
              <w:rPr>
                <w:rFonts w:hint="eastAsia" w:cs="Times New Roman"/>
                <w:b w:val="0"/>
                <w:bCs w:val="0"/>
                <w:color w:val="auto"/>
                <w:sz w:val="21"/>
                <w:szCs w:val="21"/>
                <w:highlight w:val="none"/>
                <w:lang w:val="en-US" w:eastAsia="zh-CN"/>
              </w:rPr>
              <w:t xml:space="preserve">   </w:t>
            </w:r>
            <w:r>
              <w:rPr>
                <w:rFonts w:hint="eastAsia" w:ascii="Times New Roman" w:hAnsi="Times New Roman" w:eastAsia="宋体" w:cs="Times New Roman"/>
                <w:b w:val="0"/>
                <w:bCs w:val="0"/>
                <w:color w:val="auto"/>
                <w:sz w:val="21"/>
                <w:szCs w:val="21"/>
                <w:highlight w:val="none"/>
                <w:lang w:val="en-US" w:eastAsia="zh-CN"/>
              </w:rPr>
              <w:t xml:space="preserve"> </w:t>
            </w:r>
            <w:r>
              <w:drawing>
                <wp:inline distT="0" distB="0" distL="114300" distR="114300">
                  <wp:extent cx="4521835" cy="1039495"/>
                  <wp:effectExtent l="0" t="0" r="1206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521835" cy="1039495"/>
                          </a:xfrm>
                          <a:prstGeom prst="rect">
                            <a:avLst/>
                          </a:prstGeom>
                          <a:noFill/>
                          <a:ln>
                            <a:noFill/>
                          </a:ln>
                        </pic:spPr>
                      </pic:pic>
                    </a:graphicData>
                  </a:graphic>
                </wp:inline>
              </w:drawing>
            </w:r>
          </w:p>
          <w:p>
            <w:pPr>
              <w:jc w:val="center"/>
            </w:pPr>
            <w:r>
              <w:rPr>
                <w:b/>
                <w:bCs/>
              </w:rPr>
              <w:t>图</w:t>
            </w:r>
            <w:r>
              <w:rPr>
                <w:rFonts w:hint="eastAsia"/>
                <w:b/>
                <w:bCs/>
                <w:lang w:val="en-US" w:eastAsia="zh-CN"/>
              </w:rPr>
              <w:t>2</w:t>
            </w:r>
            <w:r>
              <w:rPr>
                <w:b/>
                <w:bCs/>
              </w:rPr>
              <w:t>-</w:t>
            </w:r>
            <w:r>
              <w:rPr>
                <w:rFonts w:hint="eastAsia"/>
                <w:b/>
                <w:bCs/>
                <w:lang w:val="en-US" w:eastAsia="zh-CN"/>
              </w:rPr>
              <w:t>3</w:t>
            </w:r>
            <w:r>
              <w:rPr>
                <w:rFonts w:hint="default"/>
                <w:b/>
                <w:bCs/>
                <w:lang w:eastAsia="zh-CN"/>
              </w:rPr>
              <w:t>塑料零</w:t>
            </w:r>
            <w:r>
              <w:rPr>
                <w:rFonts w:hint="eastAsia"/>
                <w:b/>
                <w:bCs/>
                <w:lang w:val="en-US" w:eastAsia="zh-CN"/>
              </w:rPr>
              <w:t>部</w:t>
            </w:r>
            <w:r>
              <w:rPr>
                <w:rFonts w:hint="default"/>
                <w:b/>
                <w:bCs/>
                <w:lang w:eastAsia="zh-CN"/>
              </w:rPr>
              <w:t>件</w:t>
            </w:r>
            <w:r>
              <w:rPr>
                <w:rFonts w:hint="eastAsia"/>
                <w:b/>
                <w:bCs/>
                <w:lang w:val="en-US" w:eastAsia="zh-CN"/>
              </w:rPr>
              <w:t>生产</w:t>
            </w:r>
            <w:r>
              <w:rPr>
                <w:b/>
                <w:bCs/>
              </w:rPr>
              <w:t xml:space="preserve">工艺流程图 </w:t>
            </w:r>
            <w:r>
              <w:t xml:space="preserve">                                       </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eastAsia" w:ascii="Times New Roman" w:hAnsi="Times New Roman" w:eastAsia="宋体" w:cs="Times New Roman"/>
                <w:b/>
                <w:bCs/>
                <w:kern w:val="0"/>
                <w:position w:val="-5"/>
                <w:sz w:val="21"/>
                <w:szCs w:val="21"/>
                <w:lang w:val="en-US" w:eastAsia="zh-CN"/>
              </w:rPr>
            </w:pPr>
            <w:r>
              <w:rPr>
                <w:rFonts w:hint="eastAsia" w:ascii="Times New Roman" w:hAnsi="Times New Roman" w:eastAsia="宋体" w:cs="Times New Roman"/>
                <w:b/>
                <w:bCs/>
                <w:kern w:val="0"/>
                <w:position w:val="-5"/>
                <w:sz w:val="21"/>
                <w:szCs w:val="21"/>
                <w:lang w:val="en-US" w:eastAsia="zh-CN"/>
              </w:rPr>
              <w:t>生产工艺流程及产污简述：</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default" w:ascii="Times New Roman" w:hAnsi="Times New Roman" w:eastAsia="宋体" w:cs="Times New Roman"/>
                <w:kern w:val="0"/>
                <w:position w:val="-5"/>
                <w:sz w:val="21"/>
                <w:szCs w:val="21"/>
                <w:lang w:val="en-US" w:eastAsia="zh-CN"/>
              </w:rPr>
            </w:pPr>
            <w:r>
              <w:rPr>
                <w:rFonts w:hint="default" w:ascii="Times New Roman" w:hAnsi="Times New Roman" w:eastAsia="宋体" w:cs="Times New Roman"/>
                <w:b/>
                <w:bCs/>
                <w:kern w:val="0"/>
                <w:position w:val="-5"/>
                <w:sz w:val="21"/>
                <w:szCs w:val="21"/>
                <w:lang w:val="en-US" w:eastAsia="zh-CN"/>
              </w:rPr>
              <w:t>烘料：</w:t>
            </w:r>
            <w:r>
              <w:rPr>
                <w:rFonts w:hint="default" w:ascii="Times New Roman" w:hAnsi="Times New Roman" w:eastAsia="宋体" w:cs="Times New Roman"/>
                <w:kern w:val="0"/>
                <w:position w:val="-5"/>
                <w:sz w:val="21"/>
                <w:szCs w:val="21"/>
                <w:lang w:val="en-US" w:eastAsia="zh-CN"/>
              </w:rPr>
              <w:t>将</w:t>
            </w:r>
            <w:r>
              <w:rPr>
                <w:rFonts w:hint="eastAsia" w:ascii="Times New Roman" w:hAnsi="Times New Roman" w:eastAsia="宋体" w:cs="Times New Roman"/>
                <w:kern w:val="0"/>
                <w:position w:val="-5"/>
                <w:sz w:val="21"/>
                <w:szCs w:val="21"/>
                <w:lang w:val="en-US" w:eastAsia="zh-CN"/>
              </w:rPr>
              <w:t>PP、</w:t>
            </w:r>
            <w:r>
              <w:rPr>
                <w:rFonts w:hint="default" w:ascii="Times New Roman" w:hAnsi="Times New Roman" w:eastAsia="宋体" w:cs="Times New Roman"/>
                <w:kern w:val="0"/>
                <w:position w:val="-5"/>
                <w:sz w:val="21"/>
                <w:szCs w:val="21"/>
                <w:lang w:val="en-US" w:eastAsia="zh-CN"/>
              </w:rPr>
              <w:t>PA6+G</w:t>
            </w:r>
            <w:r>
              <w:rPr>
                <w:rFonts w:hint="eastAsia" w:ascii="Times New Roman" w:eastAsia="宋体" w:cs="Times New Roman"/>
                <w:kern w:val="0"/>
                <w:position w:val="-5"/>
                <w:sz w:val="21"/>
                <w:szCs w:val="21"/>
                <w:lang w:val="en-US" w:eastAsia="zh-CN"/>
              </w:rPr>
              <w:t>或PC+ABS</w:t>
            </w:r>
            <w:r>
              <w:rPr>
                <w:rFonts w:hint="default" w:ascii="Times New Roman" w:hAnsi="Times New Roman" w:eastAsia="宋体" w:cs="Times New Roman"/>
                <w:kern w:val="0"/>
                <w:position w:val="-5"/>
                <w:sz w:val="21"/>
                <w:szCs w:val="21"/>
                <w:lang w:val="en-US" w:eastAsia="zh-CN"/>
              </w:rPr>
              <w:t>人工加入烘料机中除湿干燥，烘干温度为80℃</w:t>
            </w:r>
            <w:r>
              <w:rPr>
                <w:rFonts w:hint="eastAsia" w:ascii="Times New Roman" w:hAnsi="Times New Roman" w:eastAsia="宋体" w:cs="Times New Roman"/>
                <w:kern w:val="0"/>
                <w:position w:val="-5"/>
                <w:sz w:val="21"/>
                <w:szCs w:val="21"/>
                <w:lang w:val="en-US" w:eastAsia="zh-CN"/>
              </w:rPr>
              <w:t>，此过程产生水蒸气G</w:t>
            </w:r>
            <w:r>
              <w:rPr>
                <w:rFonts w:hint="eastAsia" w:ascii="Times New Roman" w:eastAsia="宋体" w:cs="Times New Roman"/>
                <w:kern w:val="0"/>
                <w:position w:val="-5"/>
                <w:sz w:val="21"/>
                <w:szCs w:val="21"/>
                <w:lang w:val="en-US" w:eastAsia="zh-CN"/>
              </w:rPr>
              <w:t>3</w:t>
            </w:r>
            <w:r>
              <w:rPr>
                <w:rFonts w:hint="eastAsia" w:ascii="Times New Roman" w:hAnsi="Times New Roman" w:eastAsia="宋体" w:cs="Times New Roman"/>
                <w:kern w:val="0"/>
                <w:position w:val="-5"/>
                <w:sz w:val="21"/>
                <w:szCs w:val="21"/>
                <w:lang w:val="en-US" w:eastAsia="zh-CN"/>
              </w:rPr>
              <w:t>可直接排放。</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default" w:ascii="Times New Roman" w:hAnsi="Times New Roman" w:eastAsia="宋体" w:cs="Times New Roman"/>
                <w:color w:val="auto"/>
                <w:kern w:val="0"/>
                <w:position w:val="-5"/>
                <w:sz w:val="21"/>
                <w:szCs w:val="21"/>
                <w:lang w:val="en-US" w:eastAsia="zh-CN"/>
              </w:rPr>
            </w:pPr>
            <w:r>
              <w:rPr>
                <w:rFonts w:hint="default" w:ascii="Times New Roman" w:hAnsi="Times New Roman" w:eastAsia="宋体" w:cs="Times New Roman"/>
                <w:b/>
                <w:bCs/>
                <w:kern w:val="0"/>
                <w:position w:val="-5"/>
                <w:sz w:val="21"/>
                <w:szCs w:val="21"/>
                <w:lang w:val="en-US" w:eastAsia="zh-CN"/>
              </w:rPr>
              <w:t>注塑：</w:t>
            </w:r>
            <w:r>
              <w:rPr>
                <w:rFonts w:hint="default" w:ascii="Times New Roman" w:hAnsi="Times New Roman" w:eastAsia="宋体" w:cs="Times New Roman"/>
                <w:kern w:val="0"/>
                <w:position w:val="-5"/>
                <w:sz w:val="21"/>
                <w:szCs w:val="21"/>
                <w:lang w:val="en-US" w:eastAsia="zh-CN"/>
              </w:rPr>
              <w:t>烘干后的塑料</w:t>
            </w:r>
            <w:r>
              <w:rPr>
                <w:rFonts w:hint="default" w:ascii="Times New Roman" w:hAnsi="Times New Roman" w:eastAsia="宋体" w:cs="Times New Roman"/>
                <w:color w:val="auto"/>
                <w:kern w:val="0"/>
                <w:position w:val="-5"/>
                <w:sz w:val="21"/>
                <w:szCs w:val="21"/>
                <w:lang w:val="en-US" w:eastAsia="zh-CN"/>
              </w:rPr>
              <w:t>粒子通过管道抽入注塑机，在220℃左右熔融后注射到模具中</w:t>
            </w:r>
            <w:r>
              <w:rPr>
                <w:rFonts w:hint="eastAsia" w:ascii="Times New Roman" w:hAnsi="Times New Roman" w:eastAsia="宋体" w:cs="Times New Roman"/>
                <w:color w:val="auto"/>
                <w:kern w:val="0"/>
                <w:position w:val="-5"/>
                <w:sz w:val="21"/>
                <w:szCs w:val="21"/>
                <w:lang w:val="en-US" w:eastAsia="zh-CN"/>
              </w:rPr>
              <w:t>，</w:t>
            </w:r>
            <w:r>
              <w:rPr>
                <w:rFonts w:hint="default" w:ascii="Times New Roman" w:hAnsi="Times New Roman" w:eastAsia="宋体" w:cs="Times New Roman"/>
                <w:color w:val="auto"/>
                <w:kern w:val="0"/>
                <w:position w:val="-5"/>
                <w:sz w:val="21"/>
                <w:szCs w:val="21"/>
                <w:lang w:val="en-US" w:eastAsia="zh-CN"/>
              </w:rPr>
              <w:t>熔融的</w:t>
            </w:r>
            <w:r>
              <w:rPr>
                <w:rFonts w:hint="eastAsia" w:ascii="Times New Roman" w:hAnsi="Times New Roman" w:eastAsia="宋体" w:cs="Times New Roman"/>
                <w:color w:val="auto"/>
                <w:kern w:val="0"/>
                <w:position w:val="-5"/>
                <w:sz w:val="21"/>
                <w:szCs w:val="21"/>
                <w:lang w:val="en-US" w:eastAsia="zh-CN"/>
              </w:rPr>
              <w:t>塑料</w:t>
            </w:r>
            <w:r>
              <w:rPr>
                <w:rFonts w:hint="default" w:ascii="Times New Roman" w:hAnsi="Times New Roman" w:eastAsia="宋体" w:cs="Times New Roman"/>
                <w:color w:val="auto"/>
                <w:kern w:val="0"/>
                <w:position w:val="-5"/>
                <w:sz w:val="21"/>
                <w:szCs w:val="21"/>
                <w:lang w:val="en-US" w:eastAsia="zh-CN"/>
              </w:rPr>
              <w:t>在模具中冷却定型</w:t>
            </w:r>
            <w:r>
              <w:rPr>
                <w:rFonts w:hint="eastAsia" w:ascii="Times New Roman" w:hAnsi="Times New Roman" w:eastAsia="宋体" w:cs="Times New Roman"/>
                <w:color w:val="auto"/>
                <w:kern w:val="0"/>
                <w:position w:val="-5"/>
                <w:sz w:val="21"/>
                <w:szCs w:val="21"/>
                <w:lang w:val="en-US" w:eastAsia="zh-CN"/>
              </w:rPr>
              <w:t>，根据生产需要，会使用冷却水对设备进行冷却，使用模温机，控制注塑机成型温度</w:t>
            </w:r>
            <w:r>
              <w:rPr>
                <w:rFonts w:hint="eastAsia" w:ascii="Times New Roman" w:eastAsia="宋体" w:cs="Times New Roman"/>
                <w:color w:val="auto"/>
                <w:kern w:val="0"/>
                <w:position w:val="-5"/>
                <w:sz w:val="21"/>
                <w:szCs w:val="21"/>
                <w:lang w:val="en-US" w:eastAsia="zh-CN"/>
              </w:rPr>
              <w:t>，</w:t>
            </w:r>
            <w:r>
              <w:rPr>
                <w:rFonts w:hint="eastAsia" w:ascii="Times New Roman" w:hAnsi="Times New Roman" w:eastAsia="宋体" w:cs="Times New Roman"/>
                <w:b w:val="0"/>
                <w:bCs w:val="0"/>
                <w:color w:val="auto"/>
                <w:kern w:val="0"/>
                <w:position w:val="-5"/>
                <w:sz w:val="21"/>
                <w:szCs w:val="21"/>
                <w:lang w:val="en-US" w:eastAsia="zh-CN"/>
              </w:rPr>
              <w:t>根据产品大小结构不同，冷却时间为5-</w:t>
            </w:r>
            <w:r>
              <w:rPr>
                <w:rFonts w:hint="default" w:ascii="Times New Roman" w:hAnsi="Times New Roman" w:eastAsia="宋体" w:cs="Times New Roman"/>
                <w:b w:val="0"/>
                <w:bCs w:val="0"/>
                <w:color w:val="auto"/>
                <w:kern w:val="0"/>
                <w:position w:val="-5"/>
                <w:sz w:val="21"/>
                <w:szCs w:val="21"/>
                <w:lang w:val="en-US" w:eastAsia="zh-CN"/>
              </w:rPr>
              <w:t>30</w:t>
            </w:r>
            <w:r>
              <w:rPr>
                <w:rFonts w:hint="eastAsia" w:ascii="Times New Roman" w:hAnsi="Times New Roman" w:eastAsia="宋体" w:cs="Times New Roman"/>
                <w:b w:val="0"/>
                <w:bCs w:val="0"/>
                <w:color w:val="auto"/>
                <w:kern w:val="0"/>
                <w:position w:val="-5"/>
                <w:sz w:val="21"/>
                <w:szCs w:val="21"/>
                <w:lang w:val="en-US" w:eastAsia="zh-CN"/>
              </w:rPr>
              <w:t>秒不等，温度控制在</w:t>
            </w:r>
            <w:r>
              <w:rPr>
                <w:rFonts w:hint="default" w:ascii="Times New Roman" w:hAnsi="Times New Roman" w:eastAsia="宋体" w:cs="Times New Roman"/>
                <w:b w:val="0"/>
                <w:bCs w:val="0"/>
                <w:color w:val="auto"/>
                <w:kern w:val="0"/>
                <w:position w:val="-5"/>
                <w:sz w:val="21"/>
                <w:szCs w:val="21"/>
                <w:lang w:val="en-US" w:eastAsia="zh-CN"/>
              </w:rPr>
              <w:t>40</w:t>
            </w:r>
            <w:r>
              <w:rPr>
                <w:rFonts w:hint="eastAsia" w:ascii="Times New Roman" w:hAnsi="Times New Roman" w:eastAsia="宋体" w:cs="Times New Roman"/>
                <w:b w:val="0"/>
                <w:bCs w:val="0"/>
                <w:color w:val="auto"/>
                <w:kern w:val="0"/>
                <w:position w:val="-5"/>
                <w:sz w:val="21"/>
                <w:szCs w:val="21"/>
                <w:lang w:val="en-US" w:eastAsia="zh-CN"/>
              </w:rPr>
              <w:t>-</w:t>
            </w:r>
            <w:r>
              <w:rPr>
                <w:rFonts w:hint="default" w:ascii="Times New Roman" w:hAnsi="Times New Roman" w:eastAsia="宋体" w:cs="Times New Roman"/>
                <w:b w:val="0"/>
                <w:bCs w:val="0"/>
                <w:color w:val="auto"/>
                <w:kern w:val="0"/>
                <w:position w:val="-5"/>
                <w:sz w:val="21"/>
                <w:szCs w:val="21"/>
                <w:lang w:val="en-US" w:eastAsia="zh-CN"/>
              </w:rPr>
              <w:t>120℃</w:t>
            </w:r>
            <w:r>
              <w:rPr>
                <w:rFonts w:hint="eastAsia" w:ascii="Times New Roman" w:hAnsi="Times New Roman" w:eastAsia="宋体" w:cs="Times New Roman"/>
                <w:b w:val="0"/>
                <w:bCs w:val="0"/>
                <w:color w:val="auto"/>
                <w:kern w:val="0"/>
                <w:position w:val="-5"/>
                <w:sz w:val="21"/>
                <w:szCs w:val="21"/>
                <w:lang w:val="en-US" w:eastAsia="zh-CN"/>
              </w:rPr>
              <w:t>之间。</w:t>
            </w:r>
            <w:r>
              <w:rPr>
                <w:rFonts w:hint="eastAsia" w:ascii="Times New Roman" w:hAnsi="Times New Roman" w:eastAsia="宋体" w:cs="Times New Roman"/>
                <w:color w:val="auto"/>
                <w:kern w:val="0"/>
                <w:position w:val="-5"/>
                <w:sz w:val="21"/>
                <w:szCs w:val="21"/>
                <w:lang w:val="en-US" w:eastAsia="zh-CN"/>
              </w:rPr>
              <w:t>此过程产生注塑废气G</w:t>
            </w:r>
            <w:r>
              <w:rPr>
                <w:rFonts w:hint="eastAsia" w:ascii="Times New Roman" w:eastAsia="宋体" w:cs="Times New Roman"/>
                <w:color w:val="auto"/>
                <w:kern w:val="0"/>
                <w:position w:val="-5"/>
                <w:sz w:val="21"/>
                <w:szCs w:val="21"/>
                <w:lang w:val="en-US" w:eastAsia="zh-CN"/>
              </w:rPr>
              <w:t>4</w:t>
            </w:r>
            <w:r>
              <w:rPr>
                <w:rFonts w:hint="eastAsia" w:ascii="Times New Roman" w:hAnsi="Times New Roman" w:eastAsia="宋体" w:cs="Times New Roman"/>
                <w:color w:val="auto"/>
                <w:kern w:val="0"/>
                <w:position w:val="-5"/>
                <w:sz w:val="21"/>
                <w:szCs w:val="21"/>
                <w:lang w:val="en-US" w:eastAsia="zh-CN"/>
              </w:rPr>
              <w:t>，边角料S</w:t>
            </w:r>
            <w:r>
              <w:rPr>
                <w:rFonts w:hint="eastAsia" w:ascii="Times New Roman" w:eastAsia="宋体" w:cs="Times New Roman"/>
                <w:color w:val="auto"/>
                <w:kern w:val="0"/>
                <w:position w:val="-5"/>
                <w:sz w:val="21"/>
                <w:szCs w:val="21"/>
                <w:lang w:val="en-US" w:eastAsia="zh-CN"/>
              </w:rPr>
              <w:t>4</w:t>
            </w:r>
            <w:r>
              <w:rPr>
                <w:rFonts w:hint="eastAsia" w:ascii="Times New Roman" w:hAnsi="Times New Roman" w:eastAsia="宋体" w:cs="Times New Roman"/>
                <w:color w:val="auto"/>
                <w:kern w:val="0"/>
                <w:position w:val="-5"/>
                <w:sz w:val="21"/>
                <w:szCs w:val="21"/>
                <w:lang w:val="en-US" w:eastAsia="zh-CN"/>
              </w:rPr>
              <w:t>，冷却水W</w:t>
            </w:r>
            <w:r>
              <w:rPr>
                <w:rFonts w:hint="eastAsia" w:ascii="Times New Roman" w:eastAsia="宋体" w:cs="Times New Roman"/>
                <w:color w:val="auto"/>
                <w:kern w:val="0"/>
                <w:position w:val="-5"/>
                <w:sz w:val="21"/>
                <w:szCs w:val="21"/>
                <w:lang w:val="en-US" w:eastAsia="zh-CN"/>
              </w:rPr>
              <w:t>2</w:t>
            </w:r>
            <w:r>
              <w:rPr>
                <w:rFonts w:hint="eastAsia" w:ascii="Times New Roman" w:hAnsi="Times New Roman" w:eastAsia="宋体" w:cs="Times New Roman"/>
                <w:color w:val="auto"/>
                <w:kern w:val="0"/>
                <w:position w:val="-5"/>
                <w:sz w:val="21"/>
                <w:szCs w:val="21"/>
                <w:lang w:val="en-US" w:eastAsia="zh-CN"/>
              </w:rPr>
              <w:t>，冷却水循环使用。</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default" w:ascii="Times New Roman" w:hAnsi="Times New Roman" w:eastAsia="宋体" w:cs="Times New Roman"/>
                <w:color w:val="auto"/>
                <w:kern w:val="0"/>
                <w:position w:val="-5"/>
                <w:sz w:val="21"/>
                <w:szCs w:val="21"/>
                <w:lang w:val="en-US" w:eastAsia="zh-CN"/>
              </w:rPr>
            </w:pPr>
            <w:r>
              <w:rPr>
                <w:rFonts w:hint="eastAsia" w:ascii="Times New Roman" w:hAnsi="Times New Roman" w:eastAsia="宋体" w:cs="Times New Roman"/>
                <w:b/>
                <w:bCs/>
                <w:color w:val="auto"/>
                <w:kern w:val="0"/>
                <w:position w:val="-5"/>
                <w:sz w:val="21"/>
                <w:szCs w:val="21"/>
                <w:lang w:val="en-US" w:eastAsia="zh-CN"/>
              </w:rPr>
              <w:t>脱模：</w:t>
            </w:r>
            <w:r>
              <w:rPr>
                <w:rFonts w:hint="eastAsia" w:ascii="Times New Roman" w:hAnsi="Times New Roman" w:eastAsia="宋体" w:cs="Times New Roman"/>
                <w:color w:val="auto"/>
                <w:kern w:val="0"/>
                <w:position w:val="-5"/>
                <w:sz w:val="21"/>
                <w:szCs w:val="21"/>
                <w:lang w:val="en-US" w:eastAsia="zh-CN"/>
              </w:rPr>
              <w:t>塑料在模具中冷却定型后，注塑机打开模具，顶出产品，产品自动掉落或者经机械手取出。</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default" w:ascii="Times New Roman" w:hAnsi="Times New Roman" w:eastAsia="宋体" w:cs="Times New Roman"/>
                <w:color w:val="auto"/>
                <w:kern w:val="0"/>
                <w:position w:val="-5"/>
                <w:sz w:val="21"/>
                <w:szCs w:val="21"/>
                <w:lang w:val="en-US" w:eastAsia="zh-CN"/>
              </w:rPr>
            </w:pPr>
            <w:r>
              <w:rPr>
                <w:rFonts w:hint="default" w:ascii="Times New Roman" w:hAnsi="Times New Roman" w:eastAsia="宋体" w:cs="Times New Roman"/>
                <w:b/>
                <w:bCs/>
                <w:color w:val="auto"/>
                <w:kern w:val="0"/>
                <w:position w:val="-5"/>
                <w:sz w:val="21"/>
                <w:szCs w:val="21"/>
                <w:lang w:val="en-US" w:eastAsia="zh-CN"/>
              </w:rPr>
              <w:t>检验：</w:t>
            </w:r>
            <w:r>
              <w:rPr>
                <w:rFonts w:hint="default" w:ascii="Times New Roman" w:hAnsi="Times New Roman" w:eastAsia="宋体" w:cs="Times New Roman"/>
                <w:color w:val="auto"/>
                <w:kern w:val="0"/>
                <w:position w:val="-5"/>
                <w:sz w:val="21"/>
                <w:szCs w:val="21"/>
                <w:lang w:val="en-US" w:eastAsia="zh-CN"/>
              </w:rPr>
              <w:t>员工通过</w:t>
            </w:r>
            <w:r>
              <w:rPr>
                <w:rFonts w:hint="eastAsia" w:ascii="Times New Roman" w:eastAsia="宋体" w:cs="Times New Roman"/>
                <w:color w:val="auto"/>
                <w:kern w:val="0"/>
                <w:position w:val="-5"/>
                <w:sz w:val="21"/>
                <w:szCs w:val="21"/>
                <w:lang w:val="en-US" w:eastAsia="zh-CN"/>
              </w:rPr>
              <w:t>影像仪等</w:t>
            </w:r>
            <w:r>
              <w:rPr>
                <w:rFonts w:hint="default" w:ascii="Times New Roman" w:hAnsi="Times New Roman" w:eastAsia="宋体" w:cs="Times New Roman"/>
                <w:color w:val="auto"/>
                <w:kern w:val="0"/>
                <w:position w:val="-5"/>
                <w:sz w:val="21"/>
                <w:szCs w:val="21"/>
                <w:lang w:val="en-US" w:eastAsia="zh-CN"/>
              </w:rPr>
              <w:t>仪器检验产品的好坏。</w:t>
            </w:r>
            <w:r>
              <w:rPr>
                <w:rFonts w:hint="eastAsia" w:ascii="Times New Roman" w:hAnsi="Times New Roman" w:eastAsia="宋体" w:cs="Times New Roman"/>
                <w:color w:val="auto"/>
                <w:kern w:val="0"/>
                <w:position w:val="-5"/>
                <w:sz w:val="21"/>
                <w:szCs w:val="21"/>
                <w:lang w:val="en-US" w:eastAsia="zh-CN"/>
              </w:rPr>
              <w:t>此过程会产生不合格品S</w:t>
            </w:r>
            <w:r>
              <w:rPr>
                <w:rFonts w:hint="eastAsia" w:ascii="Times New Roman" w:eastAsia="宋体" w:cs="Times New Roman"/>
                <w:color w:val="auto"/>
                <w:kern w:val="0"/>
                <w:position w:val="-5"/>
                <w:sz w:val="21"/>
                <w:szCs w:val="21"/>
                <w:lang w:val="en-US" w:eastAsia="zh-CN"/>
              </w:rPr>
              <w:t>5</w:t>
            </w:r>
            <w:r>
              <w:rPr>
                <w:rFonts w:hint="eastAsia" w:ascii="Times New Roman" w:hAnsi="Times New Roman" w:eastAsia="宋体" w:cs="Times New Roman"/>
                <w:color w:val="auto"/>
                <w:kern w:val="0"/>
                <w:position w:val="-5"/>
                <w:sz w:val="21"/>
                <w:szCs w:val="21"/>
                <w:lang w:val="en-US" w:eastAsia="zh-CN"/>
              </w:rPr>
              <w:t>，</w:t>
            </w:r>
            <w:r>
              <w:rPr>
                <w:rFonts w:hint="eastAsia" w:ascii="Times New Roman" w:eastAsia="宋体" w:cs="Times New Roman"/>
                <w:color w:val="auto"/>
                <w:kern w:val="0"/>
                <w:position w:val="-5"/>
                <w:sz w:val="21"/>
                <w:szCs w:val="21"/>
                <w:lang w:val="en-US" w:eastAsia="zh-CN"/>
              </w:rPr>
              <w:t>根据买家要求</w:t>
            </w:r>
            <w:r>
              <w:rPr>
                <w:rFonts w:hint="eastAsia" w:ascii="Times New Roman" w:hAnsi="Times New Roman" w:eastAsia="宋体" w:cs="Times New Roman"/>
                <w:color w:val="auto"/>
                <w:kern w:val="0"/>
                <w:position w:val="-5"/>
                <w:sz w:val="21"/>
                <w:szCs w:val="21"/>
                <w:lang w:val="en-US" w:eastAsia="zh-CN"/>
              </w:rPr>
              <w:t>收集后对外出售</w:t>
            </w:r>
            <w:r>
              <w:rPr>
                <w:rFonts w:hint="eastAsia" w:ascii="Times New Roman" w:eastAsia="宋体" w:cs="Times New Roman"/>
                <w:color w:val="auto"/>
                <w:kern w:val="0"/>
                <w:position w:val="-5"/>
                <w:sz w:val="21"/>
                <w:szCs w:val="21"/>
                <w:lang w:val="en-US" w:eastAsia="zh-CN"/>
              </w:rPr>
              <w:t>或粉碎回用</w:t>
            </w:r>
            <w:r>
              <w:rPr>
                <w:rFonts w:hint="eastAsia" w:ascii="Times New Roman" w:hAnsi="Times New Roman" w:eastAsia="宋体" w:cs="Times New Roman"/>
                <w:color w:val="auto"/>
                <w:kern w:val="0"/>
                <w:position w:val="-5"/>
                <w:sz w:val="21"/>
                <w:szCs w:val="21"/>
                <w:lang w:val="en-US" w:eastAsia="zh-CN"/>
              </w:rPr>
              <w:t>。</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eastAsia" w:ascii="Times New Roman" w:hAnsi="Times New Roman" w:eastAsia="宋体" w:cs="Times New Roman"/>
                <w:kern w:val="0"/>
                <w:position w:val="-5"/>
                <w:sz w:val="21"/>
                <w:szCs w:val="21"/>
                <w:lang w:val="en-US" w:eastAsia="zh-CN"/>
              </w:rPr>
            </w:pPr>
            <w:r>
              <w:rPr>
                <w:rFonts w:hint="eastAsia" w:ascii="Times New Roman" w:hAnsi="Times New Roman" w:eastAsia="宋体" w:cs="Times New Roman"/>
                <w:b/>
                <w:bCs/>
                <w:color w:val="auto"/>
                <w:kern w:val="0"/>
                <w:position w:val="-5"/>
                <w:sz w:val="21"/>
                <w:szCs w:val="21"/>
                <w:lang w:val="en-US" w:eastAsia="zh-CN"/>
              </w:rPr>
              <w:t>包装</w:t>
            </w:r>
            <w:r>
              <w:rPr>
                <w:rFonts w:hint="default" w:ascii="Times New Roman" w:hAnsi="Times New Roman" w:eastAsia="宋体" w:cs="Times New Roman"/>
                <w:b/>
                <w:bCs/>
                <w:color w:val="auto"/>
                <w:kern w:val="0"/>
                <w:position w:val="-5"/>
                <w:sz w:val="21"/>
                <w:szCs w:val="21"/>
                <w:lang w:val="en-US" w:eastAsia="zh-CN"/>
              </w:rPr>
              <w:t>：</w:t>
            </w:r>
            <w:r>
              <w:rPr>
                <w:rFonts w:hint="default" w:ascii="Times New Roman" w:hAnsi="Times New Roman" w:eastAsia="宋体" w:cs="Times New Roman"/>
                <w:color w:val="auto"/>
                <w:kern w:val="0"/>
                <w:position w:val="-5"/>
                <w:sz w:val="21"/>
                <w:szCs w:val="21"/>
                <w:lang w:val="en-US" w:eastAsia="zh-CN"/>
              </w:rPr>
              <w:t>确认合格的产品按要求用PE袋包装后存放在塑料</w:t>
            </w:r>
            <w:r>
              <w:rPr>
                <w:rFonts w:hint="default" w:ascii="Times New Roman" w:hAnsi="Times New Roman" w:eastAsia="宋体" w:cs="Times New Roman"/>
                <w:kern w:val="0"/>
                <w:position w:val="-5"/>
                <w:sz w:val="21"/>
                <w:szCs w:val="21"/>
                <w:lang w:val="en-US" w:eastAsia="zh-CN"/>
              </w:rPr>
              <w:t>周转箱或纸箱</w:t>
            </w:r>
            <w:r>
              <w:rPr>
                <w:rFonts w:hint="eastAsia" w:ascii="Times New Roman" w:hAnsi="Times New Roman" w:eastAsia="宋体" w:cs="Times New Roman"/>
                <w:kern w:val="0"/>
                <w:position w:val="-5"/>
                <w:sz w:val="21"/>
                <w:szCs w:val="21"/>
                <w:lang w:val="en-US" w:eastAsia="zh-CN"/>
              </w:rPr>
              <w:t>中，存入仓库</w:t>
            </w:r>
            <w:r>
              <w:rPr>
                <w:rFonts w:hint="eastAsia" w:ascii="Times New Roman" w:eastAsia="宋体" w:cs="Times New Roman"/>
                <w:kern w:val="0"/>
                <w:position w:val="-5"/>
                <w:sz w:val="21"/>
                <w:szCs w:val="21"/>
                <w:lang w:val="en-US" w:eastAsia="zh-CN"/>
              </w:rPr>
              <w:t>。</w:t>
            </w:r>
            <w:r>
              <w:rPr>
                <w:rFonts w:hint="eastAsia" w:ascii="Times New Roman" w:hAnsi="Times New Roman" w:eastAsia="宋体" w:cs="Times New Roman"/>
                <w:kern w:val="0"/>
                <w:position w:val="-5"/>
                <w:sz w:val="21"/>
                <w:szCs w:val="21"/>
                <w:lang w:val="en-US" w:eastAsia="zh-CN"/>
              </w:rPr>
              <w:t>此过程会产生废包装物S</w:t>
            </w:r>
            <w:r>
              <w:rPr>
                <w:rFonts w:hint="eastAsia" w:ascii="Times New Roman" w:eastAsia="宋体" w:cs="Times New Roman"/>
                <w:kern w:val="0"/>
                <w:position w:val="-5"/>
                <w:sz w:val="21"/>
                <w:szCs w:val="21"/>
                <w:lang w:val="en-US" w:eastAsia="zh-CN"/>
              </w:rPr>
              <w:t>6</w:t>
            </w:r>
            <w:r>
              <w:rPr>
                <w:rFonts w:hint="eastAsia" w:ascii="Times New Roman" w:hAnsi="Times New Roman" w:eastAsia="宋体" w:cs="Times New Roman"/>
                <w:kern w:val="0"/>
                <w:position w:val="-5"/>
                <w:sz w:val="21"/>
                <w:szCs w:val="21"/>
                <w:lang w:val="en-US" w:eastAsia="zh-CN"/>
              </w:rPr>
              <w:t>，收集后对外出售。</w:t>
            </w:r>
          </w:p>
          <w:p>
            <w:pPr>
              <w:pStyle w:val="4"/>
              <w:keepNext w:val="0"/>
              <w:keepLines w:val="0"/>
              <w:pageBreakBefore w:val="0"/>
              <w:widowControl w:val="0"/>
              <w:kinsoku/>
              <w:wordWrap/>
              <w:topLinePunct w:val="0"/>
              <w:autoSpaceDE/>
              <w:autoSpaceDN/>
              <w:bidi w:val="0"/>
              <w:adjustRightInd/>
              <w:snapToGrid/>
              <w:spacing w:line="360" w:lineRule="auto"/>
              <w:ind w:firstLine="562"/>
              <w:textAlignment w:val="auto"/>
              <w:rPr>
                <w:rFonts w:hint="eastAsia" w:ascii="Times New Roman" w:eastAsia="宋体" w:cs="Times New Roman"/>
                <w:kern w:val="0"/>
                <w:position w:val="-5"/>
                <w:sz w:val="21"/>
                <w:szCs w:val="21"/>
                <w:lang w:val="en-US" w:eastAsia="zh-CN"/>
              </w:rPr>
            </w:pPr>
            <w:r>
              <w:rPr>
                <w:rFonts w:hint="eastAsia" w:ascii="Times New Roman" w:eastAsia="宋体" w:cs="Times New Roman"/>
                <w:b/>
                <w:bCs/>
                <w:kern w:val="0"/>
                <w:position w:val="-5"/>
                <w:sz w:val="21"/>
                <w:szCs w:val="21"/>
                <w:lang w:val="en-US" w:eastAsia="zh-CN"/>
              </w:rPr>
              <w:t>粉碎：</w:t>
            </w:r>
            <w:r>
              <w:rPr>
                <w:rFonts w:hint="eastAsia" w:ascii="Times New Roman" w:eastAsia="宋体" w:cs="Times New Roman"/>
                <w:kern w:val="0"/>
                <w:position w:val="-5"/>
                <w:sz w:val="21"/>
                <w:szCs w:val="21"/>
                <w:lang w:val="en-US" w:eastAsia="zh-CN"/>
              </w:rPr>
              <w:t>部分不合格品放入粉碎机中密闭粉碎，产生少量颗粒物，无组织排放。</w:t>
            </w:r>
          </w:p>
          <w:p>
            <w:pPr>
              <w:pStyle w:val="29"/>
              <w:adjustRightInd w:val="0"/>
              <w:snapToGrid w:val="0"/>
              <w:spacing w:line="360" w:lineRule="auto"/>
              <w:ind w:left="0" w:leftChars="0" w:firstLine="0" w:firstLineChars="0"/>
              <w:jc w:val="both"/>
              <w:rPr>
                <w:rFonts w:hint="eastAsia" w:ascii="Times New Roman" w:eastAsia="宋体" w:cs="Times New Roman"/>
                <w:kern w:val="0"/>
                <w:position w:val="-5"/>
                <w:sz w:val="21"/>
                <w:szCs w:val="21"/>
                <w:lang w:val="en-US" w:eastAsia="zh-CN"/>
              </w:rPr>
            </w:pPr>
            <w:r>
              <w:rPr>
                <w:rFonts w:hint="eastAsia" w:ascii="Times New Roman" w:eastAsia="宋体" w:cs="Times New Roman"/>
                <w:b/>
                <w:bCs/>
                <w:kern w:val="0"/>
                <w:position w:val="-5"/>
                <w:sz w:val="21"/>
                <w:szCs w:val="21"/>
                <w:lang w:val="en-US" w:eastAsia="zh-CN"/>
              </w:rPr>
              <w:t>维护设备：</w:t>
            </w:r>
            <w:r>
              <w:rPr>
                <w:rFonts w:hint="eastAsia" w:ascii="Times New Roman" w:eastAsia="宋体" w:cs="Times New Roman"/>
                <w:kern w:val="0"/>
                <w:position w:val="-5"/>
                <w:sz w:val="21"/>
                <w:szCs w:val="21"/>
                <w:lang w:val="en-US" w:eastAsia="zh-CN"/>
              </w:rPr>
              <w:t>使用顶针润滑油和短中期气化性防锈剂维护设备，产生</w:t>
            </w:r>
            <w:r>
              <w:rPr>
                <w:rFonts w:hint="eastAsia" w:ascii="Times New Roman" w:eastAsia="宋体" w:cs="Times New Roman"/>
                <w:kern w:val="0"/>
                <w:position w:val="-5"/>
                <w:sz w:val="21"/>
                <w:szCs w:val="21"/>
                <w:highlight w:val="none"/>
                <w:lang w:val="en-US" w:eastAsia="zh-CN"/>
              </w:rPr>
              <w:t>挥发废气G5</w:t>
            </w:r>
            <w:r>
              <w:rPr>
                <w:rFonts w:hint="eastAsia" w:ascii="Times New Roman" w:eastAsia="宋体" w:cs="Times New Roman"/>
                <w:kern w:val="0"/>
                <w:position w:val="-5"/>
                <w:sz w:val="21"/>
                <w:szCs w:val="21"/>
                <w:lang w:val="en-US" w:eastAsia="zh-CN"/>
              </w:rPr>
              <w:t>。</w:t>
            </w:r>
          </w:p>
          <w:p>
            <w:pPr>
              <w:pStyle w:val="29"/>
              <w:adjustRightInd w:val="0"/>
              <w:snapToGrid w:val="0"/>
              <w:spacing w:line="360" w:lineRule="auto"/>
              <w:ind w:left="0" w:leftChars="0" w:firstLine="0" w:firstLineChars="0"/>
              <w:jc w:val="both"/>
              <w:rPr>
                <w:rFonts w:hint="default" w:ascii="Times New Roman" w:eastAsia="宋体" w:cs="Times New Roman"/>
                <w:kern w:val="0"/>
                <w:position w:val="-5"/>
                <w:sz w:val="21"/>
                <w:szCs w:val="21"/>
                <w:lang w:val="en-US" w:eastAsia="zh-CN"/>
              </w:rPr>
            </w:pPr>
            <w:r>
              <w:rPr>
                <w:rFonts w:hint="eastAsia" w:ascii="Times New Roman" w:hAnsi="Times New Roman" w:eastAsia="宋体" w:cs="Times New Roman"/>
                <w:b/>
                <w:bCs/>
                <w:color w:val="000000"/>
                <w:kern w:val="0"/>
                <w:position w:val="-5"/>
                <w:sz w:val="21"/>
                <w:szCs w:val="21"/>
                <w:lang w:val="en-US" w:eastAsia="zh-CN" w:bidi="ar-SA"/>
              </w:rPr>
              <w:t>质检：</w:t>
            </w:r>
            <w:r>
              <w:rPr>
                <w:rFonts w:hint="eastAsia" w:ascii="Times New Roman" w:hAnsi="Times New Roman" w:eastAsia="宋体" w:cs="Times New Roman"/>
                <w:color w:val="000000"/>
                <w:kern w:val="0"/>
                <w:position w:val="-5"/>
                <w:sz w:val="21"/>
                <w:szCs w:val="21"/>
                <w:lang w:val="en-US" w:eastAsia="zh-CN" w:bidi="ar-SA"/>
              </w:rPr>
              <w:t>使用</w:t>
            </w:r>
            <w:r>
              <w:rPr>
                <w:rFonts w:hint="default" w:ascii="Times New Roman" w:hAnsi="Times New Roman" w:eastAsia="宋体" w:cs="Times New Roman"/>
                <w:color w:val="000000"/>
                <w:kern w:val="0"/>
                <w:position w:val="-5"/>
                <w:sz w:val="21"/>
                <w:szCs w:val="21"/>
                <w:lang w:val="en-US" w:eastAsia="zh-CN" w:bidi="ar-SA"/>
              </w:rPr>
              <w:t>熔融指数试验机对塑料粒子原料进行抽样检测，试验温度最高为425℃</w:t>
            </w:r>
            <w:r>
              <w:rPr>
                <w:rFonts w:hint="default" w:ascii="Times New Roman" w:hAnsi="Times New Roman" w:cs="Times New Roman"/>
                <w:color w:val="000000"/>
                <w:kern w:val="0"/>
                <w:position w:val="-5"/>
                <w:sz w:val="21"/>
                <w:szCs w:val="21"/>
                <w:lang w:val="en-US" w:eastAsia="zh-CN" w:bidi="ar-SA"/>
              </w:rPr>
              <w:t>，年消耗塑料粒子约100g，</w:t>
            </w:r>
            <w:r>
              <w:rPr>
                <w:rFonts w:hint="eastAsia" w:ascii="Times New Roman" w:hAnsi="Times New Roman" w:eastAsia="宋体" w:cs="Times New Roman"/>
                <w:color w:val="000000"/>
                <w:kern w:val="0"/>
                <w:position w:val="-5"/>
                <w:sz w:val="21"/>
                <w:szCs w:val="21"/>
                <w:lang w:val="en-US" w:eastAsia="zh-CN" w:bidi="ar-SA"/>
              </w:rPr>
              <w:t>产生极少量有机废气G</w:t>
            </w:r>
            <w:r>
              <w:rPr>
                <w:rFonts w:hint="eastAsia" w:ascii="Times New Roman" w:hAnsi="Times New Roman" w:cs="Times New Roman"/>
                <w:color w:val="000000"/>
                <w:kern w:val="0"/>
                <w:position w:val="-5"/>
                <w:sz w:val="21"/>
                <w:szCs w:val="21"/>
                <w:lang w:val="en-US" w:eastAsia="zh-CN" w:bidi="ar-SA"/>
              </w:rPr>
              <w:t>6，可忽略不计</w:t>
            </w:r>
            <w:r>
              <w:rPr>
                <w:rFonts w:hint="eastAsia" w:ascii="Times New Roman" w:hAnsi="Times New Roman" w:eastAsia="宋体" w:cs="Times New Roman"/>
                <w:color w:val="000000"/>
                <w:kern w:val="0"/>
                <w:position w:val="-5"/>
                <w:sz w:val="21"/>
                <w:szCs w:val="21"/>
                <w:lang w:val="en-US" w:eastAsia="zh-CN" w:bidi="ar-SA"/>
              </w:rPr>
              <w:t>。</w:t>
            </w:r>
          </w:p>
          <w:p>
            <w:pPr>
              <w:pStyle w:val="4"/>
              <w:keepNext w:val="0"/>
              <w:keepLines w:val="0"/>
              <w:pageBreakBefore w:val="0"/>
              <w:widowControl w:val="0"/>
              <w:numPr>
                <w:ilvl w:val="0"/>
                <w:numId w:val="0"/>
              </w:numPr>
              <w:kinsoku/>
              <w:wordWrap/>
              <w:overflowPunct w:val="0"/>
              <w:topLinePunct w:val="0"/>
              <w:autoSpaceDE/>
              <w:autoSpaceDN/>
              <w:bidi w:val="0"/>
              <w:adjustRightInd/>
              <w:snapToGrid/>
              <w:spacing w:line="360" w:lineRule="auto"/>
              <w:textAlignment w:val="auto"/>
              <w:rPr>
                <w:rFonts w:hint="eastAsia" w:ascii="Times New Roman" w:hAnsi="Times New Roman" w:eastAsia="宋体" w:cs="Times New Roman"/>
                <w:b/>
                <w:bCs/>
                <w:color w:val="auto"/>
                <w:kern w:val="2"/>
                <w:sz w:val="21"/>
                <w:lang w:val="en-US" w:eastAsia="zh-CN" w:bidi="ar-SA"/>
              </w:rPr>
            </w:pPr>
            <w:r>
              <w:drawing>
                <wp:anchor distT="0" distB="0" distL="114300" distR="114300" simplePos="0" relativeHeight="251663360" behindDoc="0" locked="0" layoutInCell="1" allowOverlap="1">
                  <wp:simplePos x="0" y="0"/>
                  <wp:positionH relativeFrom="column">
                    <wp:posOffset>265430</wp:posOffset>
                  </wp:positionH>
                  <wp:positionV relativeFrom="paragraph">
                    <wp:posOffset>267970</wp:posOffset>
                  </wp:positionV>
                  <wp:extent cx="4433570" cy="1496060"/>
                  <wp:effectExtent l="0" t="0" r="5080" b="889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4433570" cy="1496060"/>
                          </a:xfrm>
                          <a:prstGeom prst="rect">
                            <a:avLst/>
                          </a:prstGeom>
                          <a:noFill/>
                          <a:ln>
                            <a:noFill/>
                          </a:ln>
                        </pic:spPr>
                      </pic:pic>
                    </a:graphicData>
                  </a:graphic>
                </wp:anchor>
              </w:drawing>
            </w:r>
            <w:r>
              <w:rPr>
                <w:rFonts w:hint="eastAsia" w:ascii="Times New Roman" w:eastAsia="宋体" w:cs="Times New Roman"/>
                <w:b/>
                <w:bCs/>
                <w:color w:val="auto"/>
                <w:kern w:val="2"/>
                <w:sz w:val="21"/>
                <w:lang w:val="en-US" w:eastAsia="zh-CN" w:bidi="ar-SA"/>
              </w:rPr>
              <w:t xml:space="preserve">3.2 </w:t>
            </w:r>
            <w:r>
              <w:rPr>
                <w:rFonts w:hint="default" w:ascii="Times New Roman" w:hAnsi="Times New Roman" w:eastAsia="宋体" w:cs="Times New Roman"/>
                <w:b/>
                <w:bCs/>
                <w:color w:val="auto"/>
                <w:kern w:val="2"/>
                <w:sz w:val="21"/>
                <w:lang w:val="en-US" w:eastAsia="zh-CN" w:bidi="ar-SA"/>
              </w:rPr>
              <w:t>笔记本电脑装配件</w:t>
            </w:r>
            <w:r>
              <w:rPr>
                <w:rFonts w:hint="eastAsia" w:ascii="Times New Roman" w:hAnsi="Times New Roman" w:eastAsia="宋体" w:cs="Times New Roman"/>
                <w:b/>
                <w:bCs/>
                <w:color w:val="auto"/>
                <w:kern w:val="2"/>
                <w:sz w:val="21"/>
                <w:lang w:val="en-US" w:eastAsia="zh-CN" w:bidi="ar-SA"/>
              </w:rPr>
              <w:t>装配工艺流程</w:t>
            </w:r>
          </w:p>
          <w:p>
            <w:pPr>
              <w:pStyle w:val="4"/>
              <w:keepNext w:val="0"/>
              <w:keepLines w:val="0"/>
              <w:pageBreakBefore w:val="0"/>
              <w:widowControl w:val="0"/>
              <w:numPr>
                <w:ilvl w:val="0"/>
                <w:numId w:val="0"/>
              </w:numPr>
              <w:kinsoku/>
              <w:wordWrap/>
              <w:overflowPunct w:val="0"/>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图2-</w:t>
            </w:r>
            <w:r>
              <w:rPr>
                <w:rFonts w:hint="eastAsia" w:ascii="Times New Roman" w:eastAsia="宋体" w:cs="Times New Roman"/>
                <w:b/>
                <w:bCs/>
                <w:color w:val="auto"/>
                <w:kern w:val="2"/>
                <w:sz w:val="21"/>
                <w:lang w:val="en-US" w:eastAsia="zh-CN" w:bidi="ar-SA"/>
              </w:rPr>
              <w:t>4</w:t>
            </w:r>
            <w:r>
              <w:rPr>
                <w:rFonts w:hint="eastAsia" w:ascii="Times New Roman" w:hAnsi="Times New Roman" w:eastAsia="宋体" w:cs="Times New Roman"/>
                <w:b/>
                <w:bCs/>
                <w:color w:val="auto"/>
                <w:kern w:val="2"/>
                <w:sz w:val="21"/>
                <w:lang w:val="en-US" w:eastAsia="zh-CN" w:bidi="ar-SA"/>
              </w:rPr>
              <w:t>笔记本电脑装配件装配工艺流程图</w:t>
            </w:r>
          </w:p>
          <w:p>
            <w:pPr>
              <w:pStyle w:val="29"/>
              <w:adjustRightInd w:val="0"/>
              <w:snapToGrid w:val="0"/>
              <w:spacing w:line="360" w:lineRule="auto"/>
              <w:jc w:val="both"/>
              <w:rPr>
                <w:rFonts w:hint="default"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移印：</w:t>
            </w:r>
            <w:r>
              <w:rPr>
                <w:rFonts w:hint="eastAsia" w:ascii="Times New Roman" w:hAnsi="Times New Roman" w:eastAsia="宋体" w:cs="Times New Roman"/>
                <w:color w:val="000000"/>
                <w:kern w:val="0"/>
                <w:position w:val="-5"/>
                <w:sz w:val="21"/>
                <w:szCs w:val="21"/>
                <w:lang w:val="en-US" w:eastAsia="zh-CN" w:bidi="ar-SA"/>
              </w:rPr>
              <w:t>产品放到移印机治具上，油墨杯滑动，在钢制模板上留下油墨图案，再移动硅胶头将图案转移到产品上，自然风干。</w:t>
            </w:r>
          </w:p>
          <w:p>
            <w:pPr>
              <w:pStyle w:val="29"/>
              <w:adjustRightInd w:val="0"/>
              <w:snapToGrid w:val="0"/>
              <w:spacing w:line="360" w:lineRule="auto"/>
              <w:jc w:val="both"/>
              <w:rPr>
                <w:rFonts w:hint="eastAsia"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显示屏组装：</w:t>
            </w:r>
            <w:r>
              <w:rPr>
                <w:rFonts w:hint="eastAsia" w:ascii="Times New Roman" w:hAnsi="Times New Roman" w:eastAsia="宋体" w:cs="Times New Roman"/>
                <w:color w:val="000000"/>
                <w:kern w:val="0"/>
                <w:position w:val="-5"/>
                <w:sz w:val="21"/>
                <w:szCs w:val="21"/>
                <w:lang w:val="en-US" w:eastAsia="zh-CN" w:bidi="ar-SA"/>
              </w:rPr>
              <w:t>将外购的显示屏、线路板装配到塑料底板上。</w:t>
            </w:r>
          </w:p>
          <w:p>
            <w:pPr>
              <w:pStyle w:val="29"/>
              <w:adjustRightInd w:val="0"/>
              <w:snapToGrid w:val="0"/>
              <w:spacing w:line="360" w:lineRule="auto"/>
              <w:jc w:val="both"/>
              <w:rPr>
                <w:rFonts w:hint="eastAsia"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托盘组装：</w:t>
            </w:r>
            <w:r>
              <w:rPr>
                <w:rFonts w:hint="eastAsia" w:ascii="Times New Roman" w:hAnsi="Times New Roman" w:eastAsia="宋体" w:cs="Times New Roman"/>
                <w:color w:val="000000"/>
                <w:kern w:val="0"/>
                <w:position w:val="-5"/>
                <w:sz w:val="21"/>
                <w:szCs w:val="21"/>
                <w:lang w:val="en-US" w:eastAsia="zh-CN" w:bidi="ar-SA"/>
              </w:rPr>
              <w:t>将外购的键盘、线路板装配到镀锌板上。</w:t>
            </w:r>
          </w:p>
          <w:p>
            <w:pPr>
              <w:pStyle w:val="29"/>
              <w:adjustRightInd w:val="0"/>
              <w:snapToGrid w:val="0"/>
              <w:spacing w:line="360" w:lineRule="auto"/>
              <w:jc w:val="both"/>
              <w:rPr>
                <w:rFonts w:hint="eastAsia"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键盘面板组装：</w:t>
            </w:r>
            <w:r>
              <w:rPr>
                <w:rFonts w:hint="eastAsia" w:ascii="Times New Roman" w:hAnsi="Times New Roman" w:eastAsia="宋体" w:cs="Times New Roman"/>
                <w:color w:val="000000"/>
                <w:kern w:val="0"/>
                <w:position w:val="-5"/>
                <w:sz w:val="21"/>
                <w:szCs w:val="21"/>
                <w:lang w:val="en-US" w:eastAsia="zh-CN" w:bidi="ar-SA"/>
              </w:rPr>
              <w:t>将显示屏组件和键盘组件组装一起，再装上塑料面板。</w:t>
            </w:r>
          </w:p>
          <w:p>
            <w:pPr>
              <w:pStyle w:val="29"/>
              <w:adjustRightInd w:val="0"/>
              <w:snapToGrid w:val="0"/>
              <w:spacing w:line="360" w:lineRule="auto"/>
              <w:jc w:val="both"/>
              <w:rPr>
                <w:rFonts w:hint="eastAsia"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热熔：</w:t>
            </w:r>
            <w:r>
              <w:rPr>
                <w:rFonts w:hint="eastAsia" w:ascii="Times New Roman" w:hAnsi="Times New Roman" w:eastAsia="宋体" w:cs="Times New Roman"/>
                <w:color w:val="000000"/>
                <w:kern w:val="0"/>
                <w:position w:val="-5"/>
                <w:sz w:val="21"/>
                <w:szCs w:val="21"/>
                <w:lang w:val="en-US" w:eastAsia="zh-CN" w:bidi="ar-SA"/>
              </w:rPr>
              <w:t>用电加热铜螺母至250</w:t>
            </w:r>
            <w:r>
              <w:rPr>
                <w:rFonts w:hint="default" w:ascii="Times New Roman" w:hAnsi="Times New Roman" w:eastAsia="宋体" w:cs="Times New Roman"/>
                <w:color w:val="000000"/>
                <w:kern w:val="0"/>
                <w:position w:val="-5"/>
                <w:sz w:val="21"/>
                <w:szCs w:val="21"/>
                <w:lang w:val="en-US" w:eastAsia="zh-CN" w:bidi="ar-SA"/>
              </w:rPr>
              <w:t>℃</w:t>
            </w:r>
            <w:r>
              <w:rPr>
                <w:rFonts w:hint="eastAsia" w:ascii="Times New Roman" w:hAnsi="Times New Roman" w:eastAsia="宋体" w:cs="Times New Roman"/>
                <w:color w:val="000000"/>
                <w:kern w:val="0"/>
                <w:position w:val="-5"/>
                <w:sz w:val="21"/>
                <w:szCs w:val="21"/>
                <w:lang w:val="en-US" w:eastAsia="zh-CN" w:bidi="ar-SA"/>
              </w:rPr>
              <w:t>左右并压入塑料件(PC+ABS)中，产生极少量有机废气G</w:t>
            </w:r>
            <w:r>
              <w:rPr>
                <w:rFonts w:hint="eastAsia" w:ascii="Times New Roman" w:hAnsi="Times New Roman" w:cs="Times New Roman"/>
                <w:color w:val="000000"/>
                <w:kern w:val="0"/>
                <w:position w:val="-5"/>
                <w:sz w:val="21"/>
                <w:szCs w:val="21"/>
                <w:lang w:val="en-US" w:eastAsia="zh-CN" w:bidi="ar-SA"/>
              </w:rPr>
              <w:t>6，可忽略不计</w:t>
            </w:r>
            <w:r>
              <w:rPr>
                <w:rFonts w:hint="eastAsia" w:ascii="Times New Roman" w:hAnsi="Times New Roman" w:eastAsia="宋体" w:cs="Times New Roman"/>
                <w:color w:val="000000"/>
                <w:kern w:val="0"/>
                <w:position w:val="-5"/>
                <w:sz w:val="21"/>
                <w:szCs w:val="21"/>
                <w:lang w:val="en-US" w:eastAsia="zh-CN" w:bidi="ar-SA"/>
              </w:rPr>
              <w:t>。</w:t>
            </w:r>
          </w:p>
          <w:p>
            <w:pPr>
              <w:pStyle w:val="29"/>
              <w:adjustRightInd w:val="0"/>
              <w:snapToGrid w:val="0"/>
              <w:spacing w:line="360" w:lineRule="auto"/>
              <w:jc w:val="both"/>
              <w:rPr>
                <w:rFonts w:hint="eastAsia"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测试：</w:t>
            </w:r>
            <w:r>
              <w:rPr>
                <w:rFonts w:hint="eastAsia" w:ascii="Times New Roman" w:hAnsi="Times New Roman" w:eastAsia="宋体" w:cs="Times New Roman"/>
                <w:color w:val="000000"/>
                <w:kern w:val="0"/>
                <w:position w:val="-5"/>
                <w:sz w:val="21"/>
                <w:szCs w:val="21"/>
                <w:lang w:val="en-US" w:eastAsia="zh-CN" w:bidi="ar-SA"/>
              </w:rPr>
              <w:t>将组装好的机器连接测试电脑，按程序设定测试各项功能。</w:t>
            </w:r>
          </w:p>
          <w:p>
            <w:pPr>
              <w:pStyle w:val="29"/>
              <w:adjustRightInd w:val="0"/>
              <w:snapToGrid w:val="0"/>
              <w:spacing w:line="360" w:lineRule="auto"/>
              <w:jc w:val="both"/>
              <w:rPr>
                <w:rFonts w:hint="eastAsia" w:ascii="Times New Roman" w:hAnsi="Times New Roman" w:eastAsia="宋体" w:cs="Times New Roman"/>
                <w:color w:val="000000"/>
                <w:kern w:val="0"/>
                <w:position w:val="-5"/>
                <w:sz w:val="21"/>
                <w:szCs w:val="21"/>
                <w:lang w:val="en-US" w:eastAsia="zh-CN" w:bidi="ar-SA"/>
              </w:rPr>
            </w:pPr>
            <w:r>
              <w:rPr>
                <w:rFonts w:hint="eastAsia" w:ascii="Times New Roman" w:hAnsi="Times New Roman" w:eastAsia="宋体" w:cs="Times New Roman"/>
                <w:b/>
                <w:bCs/>
                <w:color w:val="000000"/>
                <w:kern w:val="0"/>
                <w:position w:val="-5"/>
                <w:sz w:val="21"/>
                <w:szCs w:val="21"/>
                <w:lang w:val="en-US" w:eastAsia="zh-CN" w:bidi="ar-SA"/>
              </w:rPr>
              <w:t>贴标签：</w:t>
            </w:r>
            <w:r>
              <w:rPr>
                <w:rFonts w:hint="eastAsia" w:ascii="Times New Roman" w:hAnsi="Times New Roman" w:eastAsia="宋体" w:cs="Times New Roman"/>
                <w:color w:val="000000"/>
                <w:kern w:val="0"/>
                <w:position w:val="-5"/>
                <w:sz w:val="21"/>
                <w:szCs w:val="21"/>
                <w:lang w:val="en-US" w:eastAsia="zh-CN" w:bidi="ar-SA"/>
              </w:rPr>
              <w:t>用无尘布清洁外表，检查外观，贴上相应的不干胶纸质标签。</w:t>
            </w:r>
          </w:p>
          <w:p>
            <w:pPr>
              <w:pStyle w:val="29"/>
              <w:adjustRightInd w:val="0"/>
              <w:snapToGrid w:val="0"/>
              <w:spacing w:line="360" w:lineRule="auto"/>
              <w:jc w:val="both"/>
              <w:rPr>
                <w:rFonts w:hint="eastAsia" w:ascii="Times New Roman" w:eastAsia="宋体" w:cs="Times New Roman"/>
                <w:kern w:val="0"/>
                <w:position w:val="-5"/>
                <w:sz w:val="21"/>
                <w:szCs w:val="21"/>
                <w:lang w:val="en-US" w:eastAsia="zh-CN"/>
              </w:rPr>
            </w:pPr>
            <w:r>
              <w:rPr>
                <w:rFonts w:hint="eastAsia" w:ascii="Times New Roman" w:hAnsi="Times New Roman" w:eastAsia="宋体" w:cs="Times New Roman"/>
                <w:b/>
                <w:bCs/>
                <w:color w:val="000000"/>
                <w:kern w:val="0"/>
                <w:position w:val="-5"/>
                <w:sz w:val="21"/>
                <w:szCs w:val="21"/>
                <w:lang w:val="en-US" w:eastAsia="zh-CN" w:bidi="ar-SA"/>
              </w:rPr>
              <w:t>包装：</w:t>
            </w:r>
            <w:r>
              <w:rPr>
                <w:rFonts w:hint="eastAsia" w:ascii="Times New Roman" w:hAnsi="Times New Roman" w:eastAsia="宋体" w:cs="Times New Roman"/>
                <w:color w:val="000000"/>
                <w:kern w:val="0"/>
                <w:position w:val="-5"/>
                <w:sz w:val="21"/>
                <w:szCs w:val="21"/>
                <w:lang w:val="en-US" w:eastAsia="zh-CN" w:bidi="ar-SA"/>
              </w:rPr>
              <w:t>将产品装进PE袋，用外购泡棉防护装入纸箱中，存入仓库</w:t>
            </w:r>
            <w:r>
              <w:rPr>
                <w:rFonts w:hint="eastAsia" w:ascii="Times New Roman" w:eastAsia="宋体" w:cs="Times New Roman"/>
                <w:kern w:val="0"/>
                <w:position w:val="-5"/>
                <w:sz w:val="21"/>
                <w:szCs w:val="21"/>
                <w:lang w:val="en-US" w:eastAsia="zh-CN"/>
              </w:rPr>
              <w:t>，此过程会产生包装废物S</w:t>
            </w:r>
            <w:r>
              <w:rPr>
                <w:rFonts w:hint="eastAsia" w:ascii="Times New Roman" w:cs="Times New Roman"/>
                <w:kern w:val="0"/>
                <w:position w:val="-5"/>
                <w:sz w:val="21"/>
                <w:szCs w:val="21"/>
                <w:lang w:val="en-US" w:eastAsia="zh-CN"/>
              </w:rPr>
              <w:t>7</w:t>
            </w:r>
            <w:r>
              <w:rPr>
                <w:rFonts w:hint="eastAsia" w:ascii="Times New Roman" w:eastAsia="宋体" w:cs="Times New Roman"/>
                <w:kern w:val="0"/>
                <w:position w:val="-5"/>
                <w:sz w:val="21"/>
                <w:szCs w:val="21"/>
                <w:lang w:val="en-US" w:eastAsia="zh-CN"/>
              </w:rPr>
              <w:t>，收集后对外出售。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cs="Times New Roman"/>
                <w:b/>
                <w:bCs/>
                <w:kern w:val="0"/>
                <w:position w:val="-5"/>
                <w:sz w:val="21"/>
                <w:szCs w:val="21"/>
                <w:lang w:val="en-US" w:eastAsia="zh-CN"/>
              </w:rPr>
              <w:t>焊接：</w:t>
            </w:r>
            <w:r>
              <w:rPr>
                <w:rFonts w:hint="eastAsia" w:cs="Times New Roman"/>
                <w:kern w:val="0"/>
                <w:position w:val="-5"/>
                <w:sz w:val="21"/>
                <w:szCs w:val="21"/>
                <w:lang w:val="en-US" w:eastAsia="zh-CN"/>
              </w:rPr>
              <w:t>部分塑料件</w:t>
            </w:r>
            <w:r>
              <w:rPr>
                <w:rFonts w:hint="eastAsia" w:ascii="Times New Roman" w:hAnsi="Times New Roman" w:cs="Times New Roman"/>
                <w:color w:val="000000"/>
                <w:kern w:val="0"/>
                <w:position w:val="-5"/>
                <w:sz w:val="21"/>
                <w:szCs w:val="21"/>
                <w:lang w:val="en-US" w:eastAsia="zh-CN" w:bidi="ar-SA"/>
              </w:rPr>
              <w:t>使用超声波焊接机进行焊接，</w:t>
            </w:r>
            <w:r>
              <w:rPr>
                <w:rFonts w:hint="eastAsia" w:ascii="Times New Roman" w:hAnsi="Times New Roman" w:eastAsia="宋体" w:cs="Times New Roman"/>
                <w:color w:val="000000"/>
                <w:kern w:val="0"/>
                <w:position w:val="-5"/>
                <w:sz w:val="21"/>
                <w:szCs w:val="21"/>
                <w:lang w:val="en-US" w:eastAsia="zh-CN" w:bidi="ar-SA"/>
              </w:rPr>
              <w:t>产生极少量有机废气G</w:t>
            </w:r>
            <w:r>
              <w:rPr>
                <w:rFonts w:hint="eastAsia" w:cs="Times New Roman"/>
                <w:color w:val="000000"/>
                <w:kern w:val="0"/>
                <w:position w:val="-5"/>
                <w:sz w:val="21"/>
                <w:szCs w:val="21"/>
                <w:lang w:val="en-US" w:eastAsia="zh-CN" w:bidi="ar-SA"/>
              </w:rPr>
              <w:t>7</w:t>
            </w:r>
            <w:r>
              <w:rPr>
                <w:rFonts w:hint="eastAsia" w:ascii="Times New Roman" w:hAnsi="Times New Roman" w:cs="Times New Roman"/>
                <w:color w:val="000000"/>
                <w:kern w:val="0"/>
                <w:position w:val="-5"/>
                <w:sz w:val="21"/>
                <w:szCs w:val="21"/>
                <w:lang w:val="en-US" w:eastAsia="zh-CN" w:bidi="ar-SA"/>
              </w:rPr>
              <w:t>，可忽略不计</w:t>
            </w:r>
            <w:r>
              <w:rPr>
                <w:rFonts w:hint="eastAsia" w:ascii="Times New Roman" w:hAnsi="Times New Roman" w:eastAsia="宋体" w:cs="Times New Roman"/>
                <w:color w:val="000000"/>
                <w:kern w:val="0"/>
                <w:position w:val="-5"/>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二、主要产污环节及污染治理措施</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1、废气</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企业委托源豪检测技术有限公司于</w:t>
            </w:r>
            <w:r>
              <w:rPr>
                <w:rFonts w:hint="default" w:ascii="Times New Roman" w:hAnsi="Times New Roman" w:eastAsia="宋体"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年2月</w:t>
            </w:r>
            <w:r>
              <w:rPr>
                <w:rFonts w:hint="eastAsia" w:ascii="Times New Roman" w:hAnsi="Times New Roman"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lang w:val="en-US" w:eastAsia="zh-CN"/>
              </w:rPr>
              <w:t>日对企业现有项目</w:t>
            </w:r>
            <w:r>
              <w:rPr>
                <w:rFonts w:hint="eastAsia" w:ascii="Times New Roman" w:hAnsi="Times New Roman"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有组织废气进行</w:t>
            </w:r>
            <w:r>
              <w:rPr>
                <w:rFonts w:hint="eastAsia" w:ascii="Times New Roman" w:hAnsi="Times New Roman" w:eastAsia="宋体" w:cs="Times New Roman"/>
                <w:color w:val="auto"/>
                <w:sz w:val="21"/>
                <w:szCs w:val="21"/>
                <w:highlight w:val="none"/>
                <w:lang w:val="en-US" w:eastAsia="zh-CN"/>
              </w:rPr>
              <w:t>例行监</w:t>
            </w:r>
            <w:r>
              <w:rPr>
                <w:rFonts w:hint="default" w:ascii="Times New Roman" w:hAnsi="Times New Roman" w:eastAsia="宋体" w:cs="Times New Roman"/>
                <w:color w:val="auto"/>
                <w:sz w:val="21"/>
                <w:szCs w:val="21"/>
                <w:highlight w:val="none"/>
                <w:lang w:val="en-US" w:eastAsia="zh-CN"/>
              </w:rPr>
              <w:t>测</w:t>
            </w:r>
            <w:r>
              <w:rPr>
                <w:rFonts w:hint="eastAsia" w:ascii="Times New Roman" w:hAnsi="Times New Roman" w:eastAsia="宋体" w:cs="Times New Roman"/>
                <w:color w:val="auto"/>
                <w:sz w:val="21"/>
                <w:szCs w:val="21"/>
                <w:highlight w:val="none"/>
                <w:lang w:val="en-US" w:eastAsia="zh-CN"/>
              </w:rPr>
              <w:t>，监测期间企业及周边企业正常生产</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b/>
                <w:bCs/>
                <w:color w:val="auto"/>
                <w:sz w:val="21"/>
                <w:szCs w:val="21"/>
                <w:highlight w:val="none"/>
              </w:rPr>
            </w:pPr>
            <w:r>
              <w:rPr>
                <w:b/>
                <w:bCs/>
                <w:color w:val="auto"/>
                <w:sz w:val="21"/>
                <w:szCs w:val="21"/>
                <w:highlight w:val="none"/>
              </w:rPr>
              <w:t>表</w:t>
            </w:r>
            <w:r>
              <w:rPr>
                <w:rFonts w:hint="eastAsia"/>
                <w:b/>
                <w:bCs/>
                <w:color w:val="auto"/>
                <w:sz w:val="21"/>
                <w:szCs w:val="21"/>
                <w:highlight w:val="none"/>
                <w:lang w:val="en-US" w:eastAsia="zh-CN"/>
              </w:rPr>
              <w:t xml:space="preserve">2-7 </w:t>
            </w:r>
            <w:r>
              <w:rPr>
                <w:b/>
                <w:bCs/>
                <w:color w:val="auto"/>
                <w:sz w:val="21"/>
                <w:szCs w:val="21"/>
                <w:highlight w:val="none"/>
              </w:rPr>
              <w:t xml:space="preserve"> 现有项目</w:t>
            </w:r>
            <w:r>
              <w:rPr>
                <w:rFonts w:hint="eastAsia"/>
                <w:b/>
                <w:bCs/>
                <w:color w:val="auto"/>
                <w:sz w:val="21"/>
                <w:szCs w:val="21"/>
                <w:highlight w:val="none"/>
                <w:lang w:val="en-US" w:eastAsia="zh-CN"/>
              </w:rPr>
              <w:t>有组织</w:t>
            </w:r>
            <w:r>
              <w:rPr>
                <w:b/>
                <w:bCs/>
                <w:color w:val="auto"/>
                <w:sz w:val="21"/>
                <w:szCs w:val="21"/>
                <w:highlight w:val="none"/>
              </w:rPr>
              <w:t>废</w:t>
            </w:r>
            <w:r>
              <w:rPr>
                <w:rFonts w:hint="eastAsia"/>
                <w:b/>
                <w:bCs/>
                <w:color w:val="auto"/>
                <w:sz w:val="21"/>
                <w:szCs w:val="21"/>
                <w:highlight w:val="none"/>
                <w:lang w:val="en-US" w:eastAsia="zh-CN"/>
              </w:rPr>
              <w:t>气</w:t>
            </w:r>
            <w:r>
              <w:rPr>
                <w:b/>
                <w:bCs/>
                <w:color w:val="auto"/>
                <w:sz w:val="21"/>
                <w:szCs w:val="21"/>
                <w:highlight w:val="none"/>
              </w:rPr>
              <w:t>监测结果</w:t>
            </w:r>
          </w:p>
          <w:tbl>
            <w:tblPr>
              <w:tblStyle w:val="16"/>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704"/>
              <w:gridCol w:w="1165"/>
              <w:gridCol w:w="1315"/>
              <w:gridCol w:w="970"/>
              <w:gridCol w:w="1072"/>
              <w:gridCol w:w="1018"/>
              <w:gridCol w:w="1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53" w:type="pct"/>
                  <w:vMerge w:val="restart"/>
                  <w:tcBorders>
                    <w:tl2br w:val="nil"/>
                    <w:tr2bl w:val="nil"/>
                  </w:tcBorders>
                  <w:noWrap w:val="0"/>
                  <w:vAlign w:val="center"/>
                </w:tcPr>
                <w:p>
                  <w:pPr>
                    <w:snapToGrid w:val="0"/>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排气筒高度</w:t>
                  </w:r>
                </w:p>
              </w:tc>
              <w:tc>
                <w:tcPr>
                  <w:tcW w:w="424" w:type="pct"/>
                  <w:vMerge w:val="restart"/>
                  <w:tcBorders>
                    <w:tl2br w:val="nil"/>
                    <w:tr2bl w:val="nil"/>
                  </w:tcBorders>
                  <w:noWrap w:val="0"/>
                  <w:vAlign w:val="center"/>
                </w:tcPr>
                <w:p>
                  <w:pPr>
                    <w:snapToGrid w:val="0"/>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监测时间</w:t>
                  </w:r>
                </w:p>
              </w:tc>
              <w:tc>
                <w:tcPr>
                  <w:tcW w:w="702" w:type="pct"/>
                  <w:vMerge w:val="restar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w:t>
                  </w:r>
                </w:p>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因子</w:t>
                  </w:r>
                </w:p>
              </w:tc>
              <w:tc>
                <w:tcPr>
                  <w:tcW w:w="1376" w:type="pct"/>
                  <w:gridSpan w:val="2"/>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排放情况</w:t>
                  </w:r>
                </w:p>
              </w:tc>
              <w:tc>
                <w:tcPr>
                  <w:tcW w:w="1259" w:type="pct"/>
                  <w:gridSpan w:val="2"/>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标准限值</w:t>
                  </w:r>
                </w:p>
              </w:tc>
              <w:tc>
                <w:tcPr>
                  <w:tcW w:w="682" w:type="pct"/>
                  <w:vMerge w:val="restar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53" w:type="pct"/>
                  <w:vMerge w:val="continue"/>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p>
              </w:tc>
              <w:tc>
                <w:tcPr>
                  <w:tcW w:w="424" w:type="pct"/>
                  <w:vMerge w:val="continue"/>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p>
              </w:tc>
              <w:tc>
                <w:tcPr>
                  <w:tcW w:w="702" w:type="pct"/>
                  <w:vMerge w:val="continue"/>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p>
              </w:tc>
              <w:tc>
                <w:tcPr>
                  <w:tcW w:w="792"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排放浓度mg/m</w:t>
                  </w:r>
                  <w:r>
                    <w:rPr>
                      <w:rFonts w:hint="default" w:ascii="Times New Roman" w:hAnsi="Times New Roman" w:eastAsia="宋体" w:cs="Times New Roman"/>
                      <w:b/>
                      <w:bCs/>
                      <w:color w:val="auto"/>
                      <w:sz w:val="18"/>
                      <w:szCs w:val="18"/>
                      <w:highlight w:val="none"/>
                      <w:vertAlign w:val="superscript"/>
                    </w:rPr>
                    <w:t>3</w:t>
                  </w:r>
                </w:p>
              </w:tc>
              <w:tc>
                <w:tcPr>
                  <w:tcW w:w="584"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排放速率kg/h</w:t>
                  </w:r>
                </w:p>
              </w:tc>
              <w:tc>
                <w:tcPr>
                  <w:tcW w:w="646"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排放浓度</w:t>
                  </w:r>
                </w:p>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p>
              </w:tc>
              <w:tc>
                <w:tcPr>
                  <w:tcW w:w="612" w:type="pct"/>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排放速率kg/h</w:t>
                  </w:r>
                </w:p>
              </w:tc>
              <w:tc>
                <w:tcPr>
                  <w:tcW w:w="682" w:type="pct"/>
                  <w:vMerge w:val="continue"/>
                  <w:tcBorders>
                    <w:tl2br w:val="nil"/>
                    <w:tr2bl w:val="nil"/>
                  </w:tcBorders>
                  <w:noWrap w:val="0"/>
                  <w:vAlign w:val="center"/>
                </w:tcPr>
                <w:p>
                  <w:pPr>
                    <w:snapToGrid w:val="0"/>
                    <w:jc w:val="center"/>
                    <w:rPr>
                      <w:rFonts w:hint="default" w:ascii="Times New Roman" w:hAnsi="Times New Roman" w:eastAsia="宋体" w:cs="Times New Roman"/>
                      <w:b/>
                      <w:bCs/>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3"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15</w:t>
                  </w:r>
                  <w:r>
                    <w:rPr>
                      <w:rFonts w:hint="default" w:ascii="Times New Roman" w:hAnsi="Times New Roman" w:eastAsia="宋体" w:cs="Times New Roman"/>
                      <w:color w:val="auto"/>
                      <w:sz w:val="18"/>
                      <w:szCs w:val="18"/>
                      <w:highlight w:val="none"/>
                    </w:rPr>
                    <w:t>m</w:t>
                  </w:r>
                </w:p>
              </w:tc>
              <w:tc>
                <w:tcPr>
                  <w:tcW w:w="424"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w:t>
                  </w:r>
                  <w:r>
                    <w:rPr>
                      <w:rFonts w:hint="eastAsia" w:ascii="Times New Roman" w:hAnsi="Times New Roman"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0</w:t>
                  </w:r>
                  <w:r>
                    <w:rPr>
                      <w:rFonts w:hint="eastAsia" w:ascii="Times New Roman" w:hAnsi="Times New Roman" w:cs="Times New Roman"/>
                      <w:color w:val="auto"/>
                      <w:sz w:val="18"/>
                      <w:szCs w:val="18"/>
                      <w:highlight w:val="none"/>
                      <w:lang w:val="en-US" w:eastAsia="zh-CN"/>
                    </w:rPr>
                    <w:t>2</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24</w:t>
                  </w:r>
                </w:p>
              </w:tc>
              <w:tc>
                <w:tcPr>
                  <w:tcW w:w="70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79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6.57</w:t>
                  </w:r>
                </w:p>
              </w:tc>
              <w:tc>
                <w:tcPr>
                  <w:tcW w:w="584"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0.02</w:t>
                  </w:r>
                </w:p>
              </w:tc>
              <w:tc>
                <w:tcPr>
                  <w:tcW w:w="646"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w:t>
                  </w:r>
                </w:p>
              </w:tc>
              <w:tc>
                <w:tcPr>
                  <w:tcW w:w="612"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682"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由上表看出，企业大气污染物排放浓度满足《合成树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脂工业污染物排放标准》（GB31572-2015）。</w:t>
            </w:r>
          </w:p>
          <w:p>
            <w:pPr>
              <w:pStyle w:val="29"/>
              <w:numPr>
                <w:ilvl w:val="0"/>
                <w:numId w:val="1"/>
              </w:numPr>
              <w:adjustRightInd w:val="0"/>
              <w:snapToGrid w:val="0"/>
              <w:spacing w:line="360" w:lineRule="auto"/>
              <w:ind w:left="0" w:leftChars="0" w:firstLine="422" w:firstLineChars="200"/>
              <w:jc w:val="both"/>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间接循环冷却水</w:t>
            </w:r>
            <w:r>
              <w:rPr>
                <w:rFonts w:hint="eastAsia" w:ascii="Times New Roman" w:hAnsi="Times New Roman" w:eastAsia="宋体" w:cs="Times New Roman"/>
                <w:kern w:val="0"/>
                <w:sz w:val="21"/>
                <w:szCs w:val="21"/>
                <w:highlight w:val="none"/>
                <w:lang w:val="en-US" w:eastAsia="zh-CN"/>
              </w:rPr>
              <w:t>不外排，</w:t>
            </w:r>
            <w:r>
              <w:rPr>
                <w:rFonts w:hint="default" w:ascii="Times New Roman" w:hAnsi="Times New Roman" w:eastAsia="宋体" w:cs="Times New Roman"/>
                <w:kern w:val="0"/>
                <w:sz w:val="21"/>
                <w:szCs w:val="21"/>
                <w:highlight w:val="none"/>
                <w:lang w:val="en-US" w:eastAsia="zh-CN"/>
              </w:rPr>
              <w:t>项目生产过程中冷却水循环使用，生产过程中不与物料接触。</w:t>
            </w:r>
            <w:r>
              <w:rPr>
                <w:rFonts w:hint="eastAsia" w:ascii="Times New Roman" w:hAnsi="Times New Roman" w:eastAsia="宋体" w:cs="Times New Roman"/>
                <w:kern w:val="0"/>
                <w:sz w:val="21"/>
                <w:szCs w:val="21"/>
                <w:highlight w:val="none"/>
                <w:lang w:val="en-US" w:eastAsia="zh-CN"/>
              </w:rPr>
              <w:t>现</w:t>
            </w:r>
            <w:r>
              <w:rPr>
                <w:rFonts w:hint="default" w:ascii="Times New Roman" w:hAnsi="Times New Roman" w:eastAsia="宋体" w:cs="Times New Roman"/>
                <w:kern w:val="0"/>
                <w:sz w:val="21"/>
                <w:szCs w:val="21"/>
                <w:highlight w:val="none"/>
                <w:lang w:val="en-US" w:eastAsia="zh-CN"/>
              </w:rPr>
              <w:t>有</w:t>
            </w:r>
            <w:r>
              <w:rPr>
                <w:rFonts w:hint="eastAsia" w:ascii="Times New Roman" w:hAnsi="Times New Roman" w:eastAsia="宋体" w:cs="Times New Roman"/>
                <w:kern w:val="0"/>
                <w:sz w:val="21"/>
                <w:szCs w:val="21"/>
                <w:highlight w:val="none"/>
                <w:lang w:val="en-US" w:eastAsia="zh-CN"/>
              </w:rPr>
              <w:t>2</w:t>
            </w:r>
            <w:r>
              <w:rPr>
                <w:rFonts w:hint="default" w:ascii="Times New Roman" w:hAnsi="Times New Roman" w:eastAsia="宋体" w:cs="Times New Roman"/>
                <w:kern w:val="0"/>
                <w:sz w:val="21"/>
                <w:szCs w:val="21"/>
                <w:highlight w:val="none"/>
                <w:lang w:val="en-US" w:eastAsia="zh-CN"/>
              </w:rPr>
              <w:t>台冷却塔，循环能力为</w:t>
            </w:r>
            <w:r>
              <w:rPr>
                <w:rFonts w:hint="eastAsia" w:cs="Times New Roman"/>
                <w:kern w:val="0"/>
                <w:sz w:val="21"/>
                <w:szCs w:val="21"/>
                <w:highlight w:val="none"/>
                <w:lang w:val="en-US" w:eastAsia="zh-CN"/>
              </w:rPr>
              <w:t>80</w:t>
            </w:r>
            <w:r>
              <w:rPr>
                <w:rFonts w:hint="default" w:ascii="Times New Roman" w:hAnsi="Times New Roman" w:eastAsia="宋体" w:cs="Times New Roman"/>
                <w:kern w:val="0"/>
                <w:sz w:val="21"/>
                <w:szCs w:val="21"/>
                <w:highlight w:val="none"/>
                <w:lang w:val="en-US" w:eastAsia="zh-CN"/>
              </w:rPr>
              <w:t>m</w:t>
            </w:r>
            <w:r>
              <w:rPr>
                <w:rFonts w:hint="default" w:ascii="Times New Roman" w:hAnsi="Times New Roman" w:eastAsia="宋体" w:cs="Times New Roman"/>
                <w:kern w:val="0"/>
                <w:sz w:val="21"/>
                <w:szCs w:val="21"/>
                <w:highlight w:val="none"/>
                <w:vertAlign w:val="superscript"/>
                <w:lang w:val="en-US" w:eastAsia="zh-CN"/>
              </w:rPr>
              <w:t>3</w:t>
            </w:r>
            <w:r>
              <w:rPr>
                <w:rFonts w:hint="default" w:ascii="Times New Roman" w:hAnsi="Times New Roman" w:eastAsia="宋体" w:cs="Times New Roman"/>
                <w:kern w:val="0"/>
                <w:sz w:val="21"/>
                <w:szCs w:val="21"/>
                <w:highlight w:val="none"/>
                <w:lang w:val="en-US" w:eastAsia="zh-CN"/>
              </w:rPr>
              <w:t>/h，按照每年工作时间6000h计算，则冷却水循环</w:t>
            </w:r>
            <w:r>
              <w:rPr>
                <w:rFonts w:hint="eastAsia" w:cs="Times New Roman"/>
                <w:kern w:val="0"/>
                <w:sz w:val="21"/>
                <w:szCs w:val="21"/>
                <w:highlight w:val="none"/>
                <w:lang w:val="en-US" w:eastAsia="zh-CN"/>
              </w:rPr>
              <w:t>96</w:t>
            </w:r>
            <w:r>
              <w:rPr>
                <w:rFonts w:hint="eastAsia" w:ascii="Times New Roman" w:hAnsi="Times New Roman" w:eastAsia="宋体" w:cs="Times New Roman"/>
                <w:kern w:val="0"/>
                <w:sz w:val="21"/>
                <w:szCs w:val="21"/>
                <w:highlight w:val="none"/>
                <w:lang w:val="en-US" w:eastAsia="zh-CN"/>
              </w:rPr>
              <w:t>0</w:t>
            </w:r>
            <w:r>
              <w:rPr>
                <w:rFonts w:hint="default" w:ascii="Times New Roman" w:hAnsi="Times New Roman" w:eastAsia="宋体" w:cs="Times New Roman"/>
                <w:kern w:val="0"/>
                <w:sz w:val="21"/>
                <w:szCs w:val="21"/>
                <w:highlight w:val="none"/>
                <w:lang w:val="en-US" w:eastAsia="zh-CN"/>
              </w:rPr>
              <w:t>000m</w:t>
            </w:r>
            <w:r>
              <w:rPr>
                <w:rFonts w:hint="default" w:ascii="Times New Roman" w:hAnsi="Times New Roman" w:eastAsia="宋体" w:cs="Times New Roman"/>
                <w:kern w:val="0"/>
                <w:sz w:val="21"/>
                <w:szCs w:val="21"/>
                <w:highlight w:val="none"/>
                <w:vertAlign w:val="superscript"/>
                <w:lang w:val="en-US" w:eastAsia="zh-CN"/>
              </w:rPr>
              <w:t>3</w:t>
            </w:r>
            <w:r>
              <w:rPr>
                <w:rFonts w:hint="default" w:ascii="Times New Roman" w:hAnsi="Times New Roman" w:eastAsia="宋体" w:cs="Times New Roman"/>
                <w:kern w:val="0"/>
                <w:sz w:val="21"/>
                <w:szCs w:val="21"/>
                <w:highlight w:val="none"/>
                <w:lang w:val="en-US" w:eastAsia="zh-CN"/>
              </w:rPr>
              <w:t>/a，年补充水量按照循环量的1%计算，则年补充水量为</w:t>
            </w:r>
            <w:r>
              <w:rPr>
                <w:rFonts w:hint="eastAsia" w:cs="Times New Roman"/>
                <w:kern w:val="0"/>
                <w:sz w:val="21"/>
                <w:szCs w:val="21"/>
                <w:highlight w:val="none"/>
                <w:lang w:val="en-US" w:eastAsia="zh-CN"/>
              </w:rPr>
              <w:t>96</w:t>
            </w:r>
            <w:r>
              <w:rPr>
                <w:rFonts w:hint="eastAsia" w:ascii="Times New Roman" w:hAnsi="Times New Roman" w:eastAsia="宋体" w:cs="Times New Roman"/>
                <w:kern w:val="0"/>
                <w:sz w:val="21"/>
                <w:szCs w:val="21"/>
                <w:highlight w:val="none"/>
                <w:lang w:val="en-US" w:eastAsia="zh-CN"/>
              </w:rPr>
              <w:t>0</w:t>
            </w:r>
            <w:r>
              <w:rPr>
                <w:rFonts w:hint="default" w:ascii="Times New Roman" w:hAnsi="Times New Roman" w:eastAsia="宋体" w:cs="Times New Roman"/>
                <w:kern w:val="0"/>
                <w:sz w:val="21"/>
                <w:szCs w:val="21"/>
                <w:highlight w:val="none"/>
                <w:lang w:val="en-US" w:eastAsia="zh-CN"/>
              </w:rPr>
              <w:t>0 t/a。</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生活污水：现有项目职工人数为</w:t>
            </w:r>
            <w:r>
              <w:rPr>
                <w:rFonts w:hint="eastAsia" w:cs="Times New Roman"/>
                <w:kern w:val="0"/>
                <w:sz w:val="21"/>
                <w:szCs w:val="21"/>
                <w:highlight w:val="none"/>
                <w:lang w:val="en-US" w:eastAsia="zh-CN"/>
              </w:rPr>
              <w:t>80</w:t>
            </w:r>
            <w:r>
              <w:rPr>
                <w:rFonts w:hint="default" w:ascii="Times New Roman" w:hAnsi="Times New Roman" w:eastAsia="宋体" w:cs="Times New Roman"/>
                <w:kern w:val="0"/>
                <w:sz w:val="21"/>
                <w:szCs w:val="21"/>
                <w:highlight w:val="none"/>
                <w:lang w:val="en-US" w:eastAsia="zh-CN"/>
              </w:rPr>
              <w:t>人</w:t>
            </w:r>
            <w:r>
              <w:rPr>
                <w:rFonts w:hint="eastAsia" w:ascii="Times New Roman" w:hAnsi="Times New Roman" w:eastAsia="宋体"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val="en-US" w:eastAsia="zh-CN"/>
              </w:rPr>
              <w:t>生活用水以1</w:t>
            </w:r>
            <w:r>
              <w:rPr>
                <w:rFonts w:hint="eastAsia" w:cs="Times New Roman"/>
                <w:kern w:val="0"/>
                <w:sz w:val="21"/>
                <w:szCs w:val="21"/>
                <w:highlight w:val="none"/>
                <w:lang w:val="en-US" w:eastAsia="zh-CN"/>
              </w:rPr>
              <w:t>00</w:t>
            </w:r>
            <w:r>
              <w:rPr>
                <w:rFonts w:hint="default" w:ascii="Times New Roman" w:hAnsi="Times New Roman" w:eastAsia="宋体" w:cs="Times New Roman"/>
                <w:kern w:val="0"/>
                <w:sz w:val="21"/>
                <w:szCs w:val="21"/>
                <w:highlight w:val="none"/>
                <w:lang w:val="en-US" w:eastAsia="zh-CN"/>
              </w:rPr>
              <w:t>L/人·天计</w:t>
            </w:r>
            <w:r>
              <w:rPr>
                <w:rFonts w:hint="eastAsia" w:ascii="Times New Roman" w:hAnsi="Times New Roman" w:eastAsia="宋体"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val="en-US" w:eastAsia="zh-CN"/>
              </w:rPr>
              <w:t>，年工作</w:t>
            </w:r>
            <w:r>
              <w:rPr>
                <w:rFonts w:hint="eastAsia" w:ascii="Times New Roman" w:hAnsi="Times New Roman" w:eastAsia="宋体" w:cs="Times New Roman"/>
                <w:kern w:val="0"/>
                <w:sz w:val="21"/>
                <w:szCs w:val="21"/>
                <w:highlight w:val="none"/>
                <w:lang w:val="en-US" w:eastAsia="zh-CN"/>
              </w:rPr>
              <w:t>330</w:t>
            </w:r>
            <w:r>
              <w:rPr>
                <w:rFonts w:hint="default" w:ascii="Times New Roman" w:hAnsi="Times New Roman" w:eastAsia="宋体" w:cs="Times New Roman"/>
                <w:kern w:val="0"/>
                <w:sz w:val="21"/>
                <w:szCs w:val="21"/>
                <w:highlight w:val="none"/>
                <w:lang w:val="en-US" w:eastAsia="zh-CN"/>
              </w:rPr>
              <w:t>天，职工生活用水</w:t>
            </w:r>
            <w:r>
              <w:rPr>
                <w:rFonts w:hint="eastAsia" w:cs="Times New Roman"/>
                <w:kern w:val="0"/>
                <w:sz w:val="21"/>
                <w:szCs w:val="21"/>
                <w:highlight w:val="none"/>
                <w:lang w:val="en-US" w:eastAsia="zh-CN"/>
              </w:rPr>
              <w:t>2640</w:t>
            </w:r>
            <w:r>
              <w:rPr>
                <w:rFonts w:hint="default" w:ascii="Times New Roman" w:hAnsi="Times New Roman" w:eastAsia="宋体" w:cs="Times New Roman"/>
                <w:kern w:val="0"/>
                <w:sz w:val="21"/>
                <w:szCs w:val="21"/>
                <w:highlight w:val="none"/>
                <w:lang w:val="en-US" w:eastAsia="zh-CN"/>
              </w:rPr>
              <w:t>t/a，生活用水经使用消耗，排污系数以0.8计，污水产生量为</w:t>
            </w:r>
            <w:r>
              <w:rPr>
                <w:rFonts w:hint="eastAsia" w:cs="Times New Roman"/>
                <w:kern w:val="0"/>
                <w:sz w:val="21"/>
                <w:szCs w:val="21"/>
                <w:highlight w:val="none"/>
                <w:lang w:val="en-US" w:eastAsia="zh-CN"/>
              </w:rPr>
              <w:t>2112</w:t>
            </w:r>
            <w:r>
              <w:rPr>
                <w:rFonts w:hint="default" w:ascii="Times New Roman" w:hAnsi="Times New Roman" w:eastAsia="宋体" w:cs="Times New Roman"/>
                <w:kern w:val="0"/>
                <w:sz w:val="21"/>
                <w:szCs w:val="21"/>
                <w:highlight w:val="none"/>
                <w:lang w:val="en-US" w:eastAsia="zh-CN"/>
              </w:rPr>
              <w:t>t/a，接入市政污水管网，经园区污水处理厂进行达标处理后，尾水最终排入吴淞江。</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企业委托江苏康达检测技术股份有限公司于2021年3月8日</w:t>
            </w:r>
            <w:r>
              <w:rPr>
                <w:rFonts w:hint="default" w:ascii="Times New Roman" w:hAnsi="Times New Roman" w:cs="Times New Roman"/>
                <w:color w:val="auto"/>
                <w:kern w:val="0"/>
                <w:sz w:val="21"/>
                <w:szCs w:val="21"/>
                <w:highlight w:val="none"/>
                <w:lang w:val="en-US" w:eastAsia="zh-CN" w:bidi="ar-SA"/>
              </w:rPr>
              <w:t>对企业现有项目</w:t>
            </w:r>
            <w:r>
              <w:rPr>
                <w:rFonts w:hint="eastAsia" w:ascii="Times New Roman" w:hAnsi="Times New Roman" w:cs="Times New Roman"/>
                <w:color w:val="auto"/>
                <w:kern w:val="0"/>
                <w:sz w:val="21"/>
                <w:szCs w:val="21"/>
                <w:highlight w:val="none"/>
                <w:lang w:val="en-US" w:eastAsia="zh-CN" w:bidi="ar-SA"/>
              </w:rPr>
              <w:t>的废水</w:t>
            </w:r>
            <w:r>
              <w:rPr>
                <w:rFonts w:hint="default" w:ascii="Times New Roman" w:hAnsi="Times New Roman" w:cs="Times New Roman"/>
                <w:color w:val="auto"/>
                <w:kern w:val="0"/>
                <w:sz w:val="21"/>
                <w:szCs w:val="21"/>
                <w:highlight w:val="none"/>
                <w:lang w:val="en-US" w:eastAsia="zh-CN" w:bidi="ar-SA"/>
              </w:rPr>
              <w:t>进行</w:t>
            </w:r>
            <w:r>
              <w:rPr>
                <w:rFonts w:hint="eastAsia" w:ascii="Times New Roman" w:hAnsi="Times New Roman" w:cs="Times New Roman"/>
                <w:color w:val="auto"/>
                <w:kern w:val="0"/>
                <w:sz w:val="21"/>
                <w:szCs w:val="21"/>
                <w:highlight w:val="none"/>
                <w:lang w:val="en-US" w:eastAsia="zh-CN" w:bidi="ar-SA"/>
              </w:rPr>
              <w:t>例行监</w:t>
            </w:r>
            <w:r>
              <w:rPr>
                <w:rFonts w:hint="default" w:ascii="Times New Roman" w:hAnsi="Times New Roman" w:cs="Times New Roman"/>
                <w:color w:val="auto"/>
                <w:kern w:val="0"/>
                <w:sz w:val="21"/>
                <w:szCs w:val="21"/>
                <w:highlight w:val="none"/>
                <w:lang w:val="en-US" w:eastAsia="zh-CN" w:bidi="ar-SA"/>
              </w:rPr>
              <w:t>测</w:t>
            </w:r>
            <w:r>
              <w:rPr>
                <w:rFonts w:hint="eastAsia" w:ascii="Times New Roman" w:hAnsi="Times New Roman" w:cs="Times New Roman"/>
                <w:color w:val="auto"/>
                <w:kern w:val="0"/>
                <w:sz w:val="21"/>
                <w:szCs w:val="21"/>
                <w:highlight w:val="none"/>
                <w:lang w:val="en-US" w:eastAsia="zh-CN" w:bidi="ar-SA"/>
              </w:rPr>
              <w:t>，监测期间企业及周边企业正常生产</w:t>
            </w:r>
            <w:r>
              <w:rPr>
                <w:rFonts w:hint="default" w:ascii="Times New Roman" w:hAnsi="Times New Roman" w:cs="Times New Roman"/>
                <w:color w:val="auto"/>
                <w:kern w:val="0"/>
                <w:sz w:val="21"/>
                <w:szCs w:val="21"/>
                <w:highlight w:val="none"/>
                <w:lang w:val="en-US" w:eastAsia="zh-CN" w:bidi="ar-SA"/>
              </w:rPr>
              <w:t>。</w:t>
            </w:r>
          </w:p>
          <w:p>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lang w:val="en-US" w:eastAsia="zh-CN"/>
              </w:rPr>
            </w:pPr>
            <w:r>
              <w:rPr>
                <w:rFonts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2-</w:t>
            </w:r>
            <w:r>
              <w:rPr>
                <w:rFonts w:hint="eastAsia" w:ascii="Times New Roman" w:hAnsi="Times New Roman" w:cs="Times New Roman"/>
                <w:b/>
                <w:bCs/>
                <w:color w:val="auto"/>
                <w:kern w:val="2"/>
                <w:sz w:val="21"/>
                <w:szCs w:val="21"/>
                <w:highlight w:val="none"/>
                <w:lang w:val="en-US" w:eastAsia="zh-CN" w:bidi="ar-SA"/>
              </w:rPr>
              <w:t>8</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ascii="Times New Roman" w:hAnsi="Times New Roman" w:eastAsia="宋体" w:cs="Times New Roman"/>
                <w:b/>
                <w:bCs/>
                <w:color w:val="auto"/>
                <w:kern w:val="2"/>
                <w:sz w:val="21"/>
                <w:szCs w:val="21"/>
                <w:highlight w:val="none"/>
                <w:lang w:val="en-US" w:eastAsia="zh-CN" w:bidi="ar-SA"/>
              </w:rPr>
              <w:t xml:space="preserve"> 现</w:t>
            </w:r>
            <w:r>
              <w:rPr>
                <w:b/>
                <w:bCs/>
                <w:color w:val="auto"/>
                <w:sz w:val="21"/>
                <w:szCs w:val="21"/>
                <w:highlight w:val="none"/>
              </w:rPr>
              <w:t>有</w:t>
            </w:r>
            <w:r>
              <w:rPr>
                <w:rFonts w:hint="eastAsia"/>
                <w:b/>
                <w:bCs/>
                <w:color w:val="auto"/>
                <w:sz w:val="21"/>
                <w:szCs w:val="21"/>
                <w:highlight w:val="none"/>
                <w:lang w:val="en-US" w:eastAsia="zh-CN"/>
              </w:rPr>
              <w:t>污水排口废水</w:t>
            </w:r>
            <w:r>
              <w:rPr>
                <w:rFonts w:hint="eastAsia"/>
                <w:b/>
                <w:bCs/>
                <w:color w:val="auto"/>
                <w:sz w:val="21"/>
                <w:szCs w:val="21"/>
                <w:highlight w:val="none"/>
              </w:rPr>
              <w:t>监测结果</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188"/>
              <w:gridCol w:w="1083"/>
              <w:gridCol w:w="1039"/>
              <w:gridCol w:w="1032"/>
              <w:gridCol w:w="1138"/>
              <w:gridCol w:w="1007"/>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restar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监测点位</w:t>
                  </w:r>
                </w:p>
              </w:tc>
              <w:tc>
                <w:tcPr>
                  <w:tcW w:w="715" w:type="pct"/>
                  <w:vMerge w:val="restar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监测日期</w:t>
                  </w:r>
                </w:p>
              </w:tc>
              <w:tc>
                <w:tcPr>
                  <w:tcW w:w="652" w:type="pct"/>
                  <w:vMerge w:val="restar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监测项目</w:t>
                  </w:r>
                </w:p>
              </w:tc>
              <w:tc>
                <w:tcPr>
                  <w:tcW w:w="1931" w:type="pct"/>
                  <w:gridSpan w:val="3"/>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监测结果（mg/L） pH为无量纲</w:t>
                  </w:r>
                </w:p>
              </w:tc>
              <w:tc>
                <w:tcPr>
                  <w:tcW w:w="606" w:type="pct"/>
                  <w:vMerge w:val="restar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标准值（mg/L）</w:t>
                  </w:r>
                </w:p>
              </w:tc>
              <w:tc>
                <w:tcPr>
                  <w:tcW w:w="461" w:type="pct"/>
                  <w:vMerge w:val="restar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tl2br w:val="nil"/>
                    <w:tr2bl w:val="nil"/>
                  </w:tcBorders>
                  <w:noWrap w:val="0"/>
                  <w:vAlign w:val="top"/>
                </w:tcPr>
                <w:p>
                  <w:pPr>
                    <w:jc w:val="center"/>
                    <w:rPr>
                      <w:rFonts w:hint="eastAsia" w:ascii="Times New Roman" w:hAnsi="Times New Roman" w:eastAsia="宋体" w:cs="Times New Roman"/>
                      <w:b/>
                      <w:bCs/>
                      <w:color w:val="auto"/>
                      <w:sz w:val="18"/>
                      <w:szCs w:val="18"/>
                      <w:highlight w:val="none"/>
                      <w:lang w:val="en-US" w:eastAsia="zh-CN"/>
                    </w:rPr>
                  </w:pPr>
                </w:p>
              </w:tc>
              <w:tc>
                <w:tcPr>
                  <w:tcW w:w="715" w:type="pct"/>
                  <w:vMerge w:val="continue"/>
                  <w:tcBorders>
                    <w:tl2br w:val="nil"/>
                    <w:tr2bl w:val="nil"/>
                  </w:tcBorders>
                  <w:noWrap w:val="0"/>
                  <w:vAlign w:val="top"/>
                </w:tcPr>
                <w:p>
                  <w:pPr>
                    <w:jc w:val="center"/>
                    <w:rPr>
                      <w:rFonts w:hint="eastAsia" w:ascii="Times New Roman" w:hAnsi="Times New Roman" w:eastAsia="宋体" w:cs="Times New Roman"/>
                      <w:b/>
                      <w:bCs/>
                      <w:color w:val="auto"/>
                      <w:sz w:val="18"/>
                      <w:szCs w:val="18"/>
                      <w:highlight w:val="none"/>
                      <w:lang w:val="en-US" w:eastAsia="zh-CN"/>
                    </w:rPr>
                  </w:pPr>
                </w:p>
              </w:tc>
              <w:tc>
                <w:tcPr>
                  <w:tcW w:w="652" w:type="pct"/>
                  <w:vMerge w:val="continue"/>
                  <w:tcBorders>
                    <w:tl2br w:val="nil"/>
                    <w:tr2bl w:val="nil"/>
                  </w:tcBorders>
                  <w:noWrap w:val="0"/>
                  <w:vAlign w:val="top"/>
                </w:tcPr>
                <w:p>
                  <w:pPr>
                    <w:jc w:val="center"/>
                    <w:rPr>
                      <w:rFonts w:hint="eastAsia" w:ascii="Times New Roman" w:hAnsi="Times New Roman" w:eastAsia="宋体" w:cs="Times New Roman"/>
                      <w:b/>
                      <w:bCs/>
                      <w:color w:val="auto"/>
                      <w:sz w:val="18"/>
                      <w:szCs w:val="18"/>
                      <w:highlight w:val="none"/>
                      <w:lang w:val="en-US" w:eastAsia="zh-CN"/>
                    </w:rPr>
                  </w:pPr>
                </w:p>
              </w:tc>
              <w:tc>
                <w:tcPr>
                  <w:tcW w:w="625" w:type="pc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第一次</w:t>
                  </w:r>
                </w:p>
              </w:tc>
              <w:tc>
                <w:tcPr>
                  <w:tcW w:w="621" w:type="pc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第二次</w:t>
                  </w:r>
                </w:p>
              </w:tc>
              <w:tc>
                <w:tcPr>
                  <w:tcW w:w="684" w:type="pct"/>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均值或范围</w:t>
                  </w:r>
                </w:p>
              </w:tc>
              <w:tc>
                <w:tcPr>
                  <w:tcW w:w="606" w:type="pct"/>
                  <w:vMerge w:val="continue"/>
                  <w:tcBorders>
                    <w:tl2br w:val="nil"/>
                    <w:tr2bl w:val="nil"/>
                  </w:tcBorders>
                  <w:noWrap w:val="0"/>
                  <w:vAlign w:val="top"/>
                </w:tcPr>
                <w:p>
                  <w:pPr>
                    <w:jc w:val="center"/>
                    <w:rPr>
                      <w:rFonts w:hint="eastAsia" w:ascii="Times New Roman" w:hAnsi="Times New Roman" w:eastAsia="宋体" w:cs="Times New Roman"/>
                      <w:color w:val="auto"/>
                      <w:sz w:val="18"/>
                      <w:szCs w:val="18"/>
                      <w:highlight w:val="none"/>
                      <w:lang w:val="en-US" w:eastAsia="zh-CN"/>
                    </w:rPr>
                  </w:pPr>
                </w:p>
              </w:tc>
              <w:tc>
                <w:tcPr>
                  <w:tcW w:w="461" w:type="pct"/>
                  <w:vMerge w:val="continue"/>
                  <w:tcBorders>
                    <w:tl2br w:val="nil"/>
                    <w:tr2bl w:val="nil"/>
                  </w:tcBorders>
                  <w:noWrap w:val="0"/>
                  <w:vAlign w:val="top"/>
                </w:tcPr>
                <w:p>
                  <w:pPr>
                    <w:jc w:val="center"/>
                    <w:rPr>
                      <w:rFonts w:hint="eastAsia"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污水排口</w:t>
                  </w:r>
                </w:p>
              </w:tc>
              <w:tc>
                <w:tcPr>
                  <w:tcW w:w="715" w:type="pct"/>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w:t>
                  </w:r>
                  <w:r>
                    <w:rPr>
                      <w:rFonts w:hint="eastAsia" w:ascii="Times New Roman" w:hAnsi="Times New Roman"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08</w:t>
                  </w:r>
                </w:p>
              </w:tc>
              <w:tc>
                <w:tcPr>
                  <w:tcW w:w="65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pH</w:t>
                  </w:r>
                </w:p>
              </w:tc>
              <w:tc>
                <w:tcPr>
                  <w:tcW w:w="625"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val="en-US" w:eastAsia="zh-CN"/>
                    </w:rPr>
                    <w:t>47</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val="en-US" w:eastAsia="zh-CN"/>
                    </w:rPr>
                    <w:t>49</w:t>
                  </w:r>
                </w:p>
              </w:tc>
              <w:tc>
                <w:tcPr>
                  <w:tcW w:w="684"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val="en-US" w:eastAsia="zh-CN"/>
                    </w:rPr>
                    <w:t>47</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val="en-US" w:eastAsia="zh-CN"/>
                    </w:rPr>
                    <w:t>49</w:t>
                  </w:r>
                </w:p>
              </w:tc>
              <w:tc>
                <w:tcPr>
                  <w:tcW w:w="606"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6~9</w:t>
                  </w:r>
                </w:p>
              </w:tc>
              <w:tc>
                <w:tcPr>
                  <w:tcW w:w="46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715"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65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COD</w:t>
                  </w:r>
                </w:p>
              </w:tc>
              <w:tc>
                <w:tcPr>
                  <w:tcW w:w="625"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77</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108</w:t>
                  </w:r>
                </w:p>
              </w:tc>
              <w:tc>
                <w:tcPr>
                  <w:tcW w:w="684"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92.5</w:t>
                  </w:r>
                </w:p>
              </w:tc>
              <w:tc>
                <w:tcPr>
                  <w:tcW w:w="606"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500</w:t>
                  </w:r>
                </w:p>
              </w:tc>
              <w:tc>
                <w:tcPr>
                  <w:tcW w:w="46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715"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65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SS</w:t>
                  </w:r>
                </w:p>
              </w:tc>
              <w:tc>
                <w:tcPr>
                  <w:tcW w:w="625"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16</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1</w:t>
                  </w:r>
                </w:p>
              </w:tc>
              <w:tc>
                <w:tcPr>
                  <w:tcW w:w="684"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13.5</w:t>
                  </w:r>
                </w:p>
              </w:tc>
              <w:tc>
                <w:tcPr>
                  <w:tcW w:w="606"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400</w:t>
                  </w:r>
                </w:p>
              </w:tc>
              <w:tc>
                <w:tcPr>
                  <w:tcW w:w="46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715"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65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625"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2.72</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1.16</w:t>
                  </w:r>
                </w:p>
              </w:tc>
              <w:tc>
                <w:tcPr>
                  <w:tcW w:w="684"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1.94</w:t>
                  </w:r>
                </w:p>
              </w:tc>
              <w:tc>
                <w:tcPr>
                  <w:tcW w:w="606"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w:t>
                  </w:r>
                </w:p>
              </w:tc>
              <w:tc>
                <w:tcPr>
                  <w:tcW w:w="46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2"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715"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652"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TP</w:t>
                  </w:r>
                </w:p>
              </w:tc>
              <w:tc>
                <w:tcPr>
                  <w:tcW w:w="625"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0.87</w:t>
                  </w:r>
                </w:p>
              </w:tc>
              <w:tc>
                <w:tcPr>
                  <w:tcW w:w="684"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1.285</w:t>
                  </w:r>
                </w:p>
              </w:tc>
              <w:tc>
                <w:tcPr>
                  <w:tcW w:w="606"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w:t>
                  </w:r>
                </w:p>
              </w:tc>
              <w:tc>
                <w:tcPr>
                  <w:tcW w:w="46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达标</w:t>
                  </w:r>
                </w:p>
              </w:tc>
            </w:tr>
          </w:tbl>
          <w:p>
            <w:pPr>
              <w:pStyle w:val="29"/>
              <w:adjustRightInd w:val="0"/>
              <w:snapToGrid w:val="0"/>
              <w:spacing w:line="360" w:lineRule="auto"/>
              <w:ind w:firstLine="420" w:firstLineChars="200"/>
              <w:jc w:val="both"/>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color w:val="auto"/>
                <w:sz w:val="21"/>
                <w:szCs w:val="21"/>
                <w:highlight w:val="none"/>
                <w:lang w:val="en-US" w:eastAsia="zh-CN"/>
              </w:rPr>
              <w:t>由上表看出，企业</w:t>
            </w:r>
            <w:r>
              <w:rPr>
                <w:rFonts w:hint="eastAsia"/>
                <w:color w:val="auto"/>
                <w:sz w:val="21"/>
                <w:szCs w:val="21"/>
                <w:highlight w:val="none"/>
                <w:lang w:val="en-US" w:eastAsia="zh-CN"/>
              </w:rPr>
              <w:t>废水排放</w:t>
            </w:r>
            <w:r>
              <w:rPr>
                <w:rFonts w:hint="default"/>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val="en-US" w:eastAsia="zh-CN"/>
              </w:rPr>
              <w:t>《污水综合排放标准》（GB8978-1996）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表4三级标准和</w:t>
            </w:r>
            <w:r>
              <w:rPr>
                <w:rFonts w:hint="default" w:ascii="Times New Roman" w:hAnsi="Times New Roman" w:eastAsia="宋体" w:cs="Times New Roman"/>
                <w:color w:val="000000" w:themeColor="text1"/>
                <w:sz w:val="21"/>
                <w:szCs w:val="21"/>
                <w:highlight w:val="none"/>
                <w14:textFill>
                  <w14:solidFill>
                    <w14:schemeClr w14:val="tx1"/>
                  </w14:solidFill>
                </w14:textFill>
              </w:rPr>
              <w:t>《污水排入城镇下水道水质标准》（GB/T 31962-2015）表1中B级标准。</w:t>
            </w:r>
          </w:p>
          <w:p>
            <w:pPr>
              <w:pStyle w:val="29"/>
              <w:adjustRightInd w:val="0"/>
              <w:snapToGrid w:val="0"/>
              <w:spacing w:line="360" w:lineRule="auto"/>
              <w:ind w:firstLine="422" w:firstLineChars="200"/>
              <w:jc w:val="both"/>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3、噪声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现有项目噪声源主要为注塑机、粉碎机、冲压机及拌料机等设备在运转时产生的噪声，噪声源强在65~85dB（A）之间。经采用置于室内、隔声减振、距离衰减等措施后，厂界噪声满足《工业企业厂界环境噪声排放标准》（GB1248-2008）中的3类标准要求，能够达标排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sz w:val="24"/>
                <w:szCs w:val="24"/>
              </w:rPr>
            </w:pPr>
            <w:r>
              <w:rPr>
                <w:rFonts w:hint="default" w:ascii="Times New Roman" w:hAnsi="Times New Roman" w:eastAsia="宋体" w:cs="Times New Roman"/>
                <w:color w:val="auto"/>
                <w:kern w:val="2"/>
                <w:sz w:val="21"/>
                <w:szCs w:val="21"/>
                <w:highlight w:val="none"/>
                <w:lang w:val="en-US" w:eastAsia="zh-CN" w:bidi="ar-SA"/>
              </w:rPr>
              <w:t>企业委托</w:t>
            </w:r>
            <w:r>
              <w:rPr>
                <w:rFonts w:hint="eastAsia" w:ascii="Times New Roman" w:hAnsi="Times New Roman" w:eastAsia="宋体" w:cs="Times New Roman"/>
                <w:color w:val="auto"/>
                <w:kern w:val="2"/>
                <w:sz w:val="21"/>
                <w:szCs w:val="21"/>
                <w:highlight w:val="none"/>
                <w:lang w:val="en-US" w:eastAsia="zh-CN" w:bidi="ar-SA"/>
              </w:rPr>
              <w:t>江苏玖清玖蓝检测技术</w:t>
            </w:r>
            <w:r>
              <w:rPr>
                <w:rFonts w:hint="default" w:ascii="Times New Roman" w:hAnsi="Times New Roman" w:eastAsia="宋体" w:cs="Times New Roman"/>
                <w:color w:val="auto"/>
                <w:kern w:val="2"/>
                <w:sz w:val="21"/>
                <w:szCs w:val="21"/>
                <w:highlight w:val="none"/>
                <w:lang w:val="en-US" w:eastAsia="zh-CN" w:bidi="ar-SA"/>
              </w:rPr>
              <w:t>有限公司于2021年</w:t>
            </w: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日对项目所在地边界进行昼</w:t>
            </w:r>
            <w:r>
              <w:rPr>
                <w:rFonts w:hint="eastAsia" w:ascii="Times New Roman" w:hAnsi="Times New Roman" w:eastAsia="宋体" w:cs="Times New Roman"/>
                <w:color w:val="auto"/>
                <w:kern w:val="2"/>
                <w:sz w:val="21"/>
                <w:szCs w:val="21"/>
                <w:highlight w:val="none"/>
                <w:lang w:val="en-US" w:eastAsia="zh-CN" w:bidi="ar-SA"/>
              </w:rPr>
              <w:t>夜</w:t>
            </w:r>
            <w:r>
              <w:rPr>
                <w:rFonts w:hint="default" w:ascii="Times New Roman" w:hAnsi="Times New Roman" w:eastAsia="宋体" w:cs="Times New Roman"/>
                <w:color w:val="auto"/>
                <w:kern w:val="2"/>
                <w:sz w:val="21"/>
                <w:szCs w:val="21"/>
                <w:highlight w:val="none"/>
                <w:lang w:val="en-US" w:eastAsia="zh-CN" w:bidi="ar-SA"/>
              </w:rPr>
              <w:t>间声环境现状监测。监测条件：天气</w:t>
            </w:r>
            <w:r>
              <w:rPr>
                <w:rFonts w:hint="eastAsia" w:ascii="Times New Roman" w:hAnsi="Times New Roman" w:eastAsia="宋体" w:cs="Times New Roman"/>
                <w:color w:val="auto"/>
                <w:kern w:val="2"/>
                <w:sz w:val="21"/>
                <w:szCs w:val="21"/>
                <w:highlight w:val="none"/>
                <w:lang w:val="en-US" w:eastAsia="zh-CN" w:bidi="ar-SA"/>
              </w:rPr>
              <w:t>阴</w:t>
            </w:r>
            <w:r>
              <w:rPr>
                <w:rFonts w:hint="default" w:ascii="Times New Roman" w:hAnsi="Times New Roman" w:eastAsia="宋体" w:cs="Times New Roman"/>
                <w:color w:val="auto"/>
                <w:kern w:val="2"/>
                <w:sz w:val="21"/>
                <w:szCs w:val="21"/>
                <w:highlight w:val="none"/>
                <w:lang w:val="en-US" w:eastAsia="zh-CN" w:bidi="ar-SA"/>
              </w:rPr>
              <w:t>，在厂界外1m处共布设4个监测点，具体监测点位置见附图二，监测报告见附件，监测结果如下表</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8</w:t>
            </w:r>
            <w:r>
              <w:rPr>
                <w:rFonts w:hint="default" w:ascii="Times New Roman" w:hAnsi="Times New Roman" w:eastAsia="宋体" w:cs="Times New Roman"/>
                <w:color w:val="auto"/>
                <w:kern w:val="2"/>
                <w:sz w:val="21"/>
                <w:szCs w:val="21"/>
                <w:highlight w:val="none"/>
                <w:lang w:val="en-US" w:eastAsia="zh-CN" w:bidi="ar-SA"/>
              </w:rPr>
              <w:t>所示。</w:t>
            </w:r>
          </w:p>
          <w:p>
            <w:pPr>
              <w:adjustRightInd w:val="0"/>
              <w:snapToGrid w:val="0"/>
              <w:jc w:val="center"/>
              <w:rPr>
                <w:rFonts w:hint="default" w:ascii="Times New Roman" w:hAnsi="Times New Roman" w:cs="Times New Roman"/>
                <w:b/>
                <w:sz w:val="24"/>
                <w:szCs w:val="24"/>
              </w:rPr>
            </w:pPr>
            <w:r>
              <w:rPr>
                <w:rFonts w:hint="default" w:ascii="Times New Roman" w:hAnsi="Times New Roman" w:cs="Times New Roman"/>
                <w:b/>
                <w:sz w:val="21"/>
                <w:szCs w:val="21"/>
              </w:rPr>
              <w:t>表</w:t>
            </w:r>
            <w:r>
              <w:rPr>
                <w:rFonts w:hint="eastAsia" w:cs="Times New Roman"/>
                <w:b/>
                <w:sz w:val="21"/>
                <w:szCs w:val="21"/>
                <w:lang w:val="en-US" w:eastAsia="zh-CN"/>
              </w:rPr>
              <w:t>2</w:t>
            </w:r>
            <w:r>
              <w:rPr>
                <w:rFonts w:hint="default" w:ascii="Times New Roman" w:hAnsi="Times New Roman" w:cs="Times New Roman"/>
                <w:b/>
                <w:sz w:val="21"/>
                <w:szCs w:val="21"/>
              </w:rPr>
              <w:t>-</w:t>
            </w:r>
            <w:r>
              <w:rPr>
                <w:rFonts w:hint="eastAsia" w:cs="Times New Roman"/>
                <w:b/>
                <w:sz w:val="21"/>
                <w:szCs w:val="21"/>
                <w:lang w:val="en-US" w:eastAsia="zh-CN"/>
              </w:rPr>
              <w:t>9</w:t>
            </w:r>
            <w:r>
              <w:rPr>
                <w:rFonts w:hint="default" w:ascii="Times New Roman" w:hAnsi="Times New Roman" w:cs="Times New Roman"/>
                <w:b/>
                <w:sz w:val="21"/>
                <w:szCs w:val="21"/>
                <w:lang w:val="en-US" w:eastAsia="zh-CN"/>
              </w:rPr>
              <w:t xml:space="preserve"> </w:t>
            </w:r>
            <w:r>
              <w:rPr>
                <w:rFonts w:hint="default" w:ascii="Times New Roman" w:hAnsi="Times New Roman" w:cs="Times New Roman"/>
                <w:b/>
                <w:sz w:val="21"/>
                <w:szCs w:val="21"/>
              </w:rPr>
              <w:t>噪声监测结果单位：dB(A)</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1494"/>
              <w:gridCol w:w="1495"/>
              <w:gridCol w:w="1495"/>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pPr>
                    <w:adjustRightInd w:val="0"/>
                    <w:snapToGrid w:val="0"/>
                    <w:jc w:val="center"/>
                    <w:rPr>
                      <w:rFonts w:hint="default" w:ascii="Times New Roman" w:hAnsi="Times New Roman" w:cs="Times New Roman"/>
                      <w:bCs/>
                      <w:sz w:val="18"/>
                      <w:szCs w:val="18"/>
                    </w:rPr>
                  </w:pPr>
                  <w:r>
                    <w:rPr>
                      <w:rFonts w:hint="default" w:ascii="Times New Roman" w:hAnsi="Times New Roman" w:cs="Times New Roman"/>
                      <w:bCs/>
                      <w:sz w:val="18"/>
                      <w:szCs w:val="18"/>
                    </w:rPr>
                    <w:t>测点</w:t>
                  </w:r>
                </w:p>
              </w:tc>
              <w:tc>
                <w:tcPr>
                  <w:tcW w:w="900" w:type="pct"/>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1（</w:t>
                  </w:r>
                  <w:r>
                    <w:rPr>
                      <w:rFonts w:hint="eastAsia" w:cs="Times New Roman"/>
                      <w:bCs/>
                      <w:sz w:val="18"/>
                      <w:szCs w:val="18"/>
                      <w:lang w:val="en-US" w:eastAsia="zh-CN"/>
                    </w:rPr>
                    <w:t>东</w:t>
                  </w:r>
                  <w:r>
                    <w:rPr>
                      <w:rFonts w:hint="default" w:ascii="Times New Roman" w:hAnsi="Times New Roman" w:cs="Times New Roman"/>
                      <w:bCs/>
                      <w:sz w:val="18"/>
                      <w:szCs w:val="18"/>
                    </w:rPr>
                    <w:t>）</w:t>
                  </w:r>
                </w:p>
              </w:tc>
              <w:tc>
                <w:tcPr>
                  <w:tcW w:w="900" w:type="pct"/>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2（南）</w:t>
                  </w:r>
                </w:p>
              </w:tc>
              <w:tc>
                <w:tcPr>
                  <w:tcW w:w="900" w:type="pct"/>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3（</w:t>
                  </w:r>
                  <w:r>
                    <w:rPr>
                      <w:rFonts w:hint="eastAsia" w:cs="Times New Roman"/>
                      <w:bCs/>
                      <w:sz w:val="18"/>
                      <w:szCs w:val="18"/>
                      <w:lang w:val="en-US" w:eastAsia="zh-CN"/>
                    </w:rPr>
                    <w:t>西</w:t>
                  </w:r>
                  <w:r>
                    <w:rPr>
                      <w:rFonts w:hint="default" w:ascii="Times New Roman" w:hAnsi="Times New Roman" w:cs="Times New Roman"/>
                      <w:bCs/>
                      <w:sz w:val="18"/>
                      <w:szCs w:val="18"/>
                    </w:rPr>
                    <w:t>）</w:t>
                  </w:r>
                </w:p>
              </w:tc>
              <w:tc>
                <w:tcPr>
                  <w:tcW w:w="904" w:type="pct"/>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4（北）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pPr>
                    <w:adjustRightInd w:val="0"/>
                    <w:snapToGrid w:val="0"/>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昼间</w:t>
                  </w:r>
                  <w:r>
                    <w:rPr>
                      <w:rFonts w:hint="eastAsia" w:cs="Times New Roman"/>
                      <w:sz w:val="18"/>
                      <w:szCs w:val="18"/>
                      <w:lang w:eastAsia="zh-CN"/>
                    </w:rPr>
                    <w:t>（</w:t>
                  </w:r>
                  <w:r>
                    <w:rPr>
                      <w:rFonts w:hint="default" w:ascii="Times New Roman" w:hAnsi="Times New Roman" w:cs="Times New Roman"/>
                      <w:color w:val="auto"/>
                      <w:kern w:val="0"/>
                      <w:sz w:val="18"/>
                      <w:szCs w:val="18"/>
                    </w:rPr>
                    <w:t>风速：2.</w:t>
                  </w:r>
                  <w:r>
                    <w:rPr>
                      <w:rFonts w:hint="eastAsia" w:cs="Times New Roman"/>
                      <w:color w:val="auto"/>
                      <w:kern w:val="0"/>
                      <w:sz w:val="18"/>
                      <w:szCs w:val="18"/>
                      <w:lang w:val="en-US" w:eastAsia="zh-CN"/>
                    </w:rPr>
                    <w:t>4</w:t>
                  </w:r>
                  <w:r>
                    <w:rPr>
                      <w:rFonts w:hint="default" w:ascii="Times New Roman" w:hAnsi="Times New Roman" w:cs="Times New Roman"/>
                      <w:color w:val="auto"/>
                      <w:kern w:val="0"/>
                      <w:sz w:val="18"/>
                      <w:szCs w:val="18"/>
                    </w:rPr>
                    <w:t>m/s</w:t>
                  </w:r>
                  <w:r>
                    <w:rPr>
                      <w:rFonts w:hint="default" w:ascii="Times New Roman" w:hAnsi="Times New Roman" w:cs="Times New Roman"/>
                      <w:color w:val="auto"/>
                      <w:kern w:val="0"/>
                      <w:sz w:val="18"/>
                      <w:szCs w:val="18"/>
                      <w:lang w:eastAsia="zh-CN"/>
                    </w:rPr>
                    <w:t>；</w:t>
                  </w:r>
                  <w:r>
                    <w:rPr>
                      <w:rFonts w:hint="eastAsia" w:cs="Times New Roman"/>
                      <w:sz w:val="18"/>
                      <w:szCs w:val="18"/>
                      <w:lang w:eastAsia="zh-CN"/>
                    </w:rPr>
                    <w:t>）</w:t>
                  </w:r>
                </w:p>
              </w:tc>
              <w:tc>
                <w:tcPr>
                  <w:tcW w:w="900"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54</w:t>
                  </w:r>
                </w:p>
              </w:tc>
              <w:tc>
                <w:tcPr>
                  <w:tcW w:w="900"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52</w:t>
                  </w:r>
                </w:p>
              </w:tc>
              <w:tc>
                <w:tcPr>
                  <w:tcW w:w="900"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55</w:t>
                  </w:r>
                </w:p>
              </w:tc>
              <w:tc>
                <w:tcPr>
                  <w:tcW w:w="904"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pPr>
                    <w:adjustRightInd w:val="0"/>
                    <w:snapToGrid w:val="0"/>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夜间</w:t>
                  </w:r>
                  <w:r>
                    <w:rPr>
                      <w:rFonts w:hint="eastAsia" w:cs="Times New Roman"/>
                      <w:sz w:val="18"/>
                      <w:szCs w:val="18"/>
                      <w:lang w:eastAsia="zh-CN"/>
                    </w:rPr>
                    <w:t>（</w:t>
                  </w:r>
                  <w:r>
                    <w:rPr>
                      <w:rFonts w:hint="default" w:ascii="Times New Roman" w:hAnsi="Times New Roman" w:cs="Times New Roman"/>
                      <w:color w:val="auto"/>
                      <w:kern w:val="0"/>
                      <w:sz w:val="18"/>
                      <w:szCs w:val="18"/>
                    </w:rPr>
                    <w:t>风速：2.</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m/s</w:t>
                  </w:r>
                  <w:r>
                    <w:rPr>
                      <w:rFonts w:hint="default" w:ascii="Times New Roman" w:hAnsi="Times New Roman" w:cs="Times New Roman"/>
                      <w:color w:val="auto"/>
                      <w:kern w:val="0"/>
                      <w:sz w:val="18"/>
                      <w:szCs w:val="18"/>
                      <w:lang w:eastAsia="zh-CN"/>
                    </w:rPr>
                    <w:t>；</w:t>
                  </w:r>
                  <w:r>
                    <w:rPr>
                      <w:rFonts w:hint="eastAsia" w:cs="Times New Roman"/>
                      <w:sz w:val="18"/>
                      <w:szCs w:val="18"/>
                      <w:lang w:eastAsia="zh-CN"/>
                    </w:rPr>
                    <w:t>）</w:t>
                  </w:r>
                </w:p>
              </w:tc>
              <w:tc>
                <w:tcPr>
                  <w:tcW w:w="900"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47</w:t>
                  </w:r>
                </w:p>
              </w:tc>
              <w:tc>
                <w:tcPr>
                  <w:tcW w:w="900"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47</w:t>
                  </w:r>
                </w:p>
              </w:tc>
              <w:tc>
                <w:tcPr>
                  <w:tcW w:w="900"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8</w:t>
                  </w:r>
                </w:p>
              </w:tc>
              <w:tc>
                <w:tcPr>
                  <w:tcW w:w="904" w:type="pct"/>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标准</w:t>
                  </w:r>
                </w:p>
              </w:tc>
              <w:tc>
                <w:tcPr>
                  <w:tcW w:w="3607" w:type="pct"/>
                  <w:gridSpan w:val="4"/>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3类标准：昼间≤65dB(A)；夜间≤55 dB(A)</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监测结果表明：项目地各边界噪声监测点位所测值均可满足《声环境质量标准》（GB3096-2008）3类标准限值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kern w:val="0"/>
                <w:sz w:val="21"/>
                <w:szCs w:val="21"/>
                <w:highlight w:val="none"/>
                <w:lang w:val="en-US" w:eastAsia="zh-CN"/>
              </w:rPr>
              <w:t>能够达标排放</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eastAsia="宋体"/>
                <w:lang w:val="en-US" w:eastAsia="zh-CN"/>
              </w:rPr>
            </w:pPr>
            <w:r>
              <w:rPr>
                <w:rFonts w:hint="eastAsia" w:cs="Times New Roman"/>
                <w:color w:val="auto"/>
                <w:sz w:val="21"/>
                <w:szCs w:val="21"/>
                <w:highlight w:val="none"/>
                <w:lang w:val="en-US" w:eastAsia="zh-CN"/>
              </w:rPr>
              <w:t xml:space="preserve">               </w:t>
            </w:r>
            <w:r>
              <w:drawing>
                <wp:inline distT="0" distB="0" distL="114300" distR="114300">
                  <wp:extent cx="2806065" cy="1995170"/>
                  <wp:effectExtent l="0" t="0" r="1333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2806065" cy="1995170"/>
                          </a:xfrm>
                          <a:prstGeom prst="rect">
                            <a:avLst/>
                          </a:prstGeom>
                          <a:noFill/>
                          <a:ln>
                            <a:noFill/>
                          </a:ln>
                        </pic:spPr>
                      </pic:pic>
                    </a:graphicData>
                  </a:graphic>
                </wp:inline>
              </w:drawing>
            </w:r>
          </w:p>
          <w:p>
            <w:pPr>
              <w:spacing w:line="360" w:lineRule="auto"/>
              <w:jc w:val="center"/>
              <w:rPr>
                <w:rFonts w:hint="default"/>
                <w:lang w:val="en-US" w:eastAsia="zh-CN"/>
              </w:rPr>
            </w:pPr>
            <w:r>
              <w:rPr>
                <w:rFonts w:hint="eastAsia"/>
                <w:b/>
                <w:bCs/>
                <w:lang w:val="en-US" w:eastAsia="zh-CN"/>
              </w:rPr>
              <w:t>图2-6  噪声监测点位图</w:t>
            </w:r>
          </w:p>
          <w:p>
            <w:pPr>
              <w:pStyle w:val="29"/>
              <w:adjustRightInd w:val="0"/>
              <w:snapToGrid w:val="0"/>
              <w:spacing w:line="360" w:lineRule="auto"/>
              <w:ind w:firstLine="422" w:firstLineChars="200"/>
              <w:jc w:val="both"/>
              <w:rPr>
                <w:rFonts w:hint="default" w:ascii="Times New Roman" w:hAnsi="Times New Roman" w:cs="Times New Roman"/>
                <w:b/>
                <w:color w:val="FF0000"/>
                <w:sz w:val="21"/>
                <w:szCs w:val="21"/>
                <w:highlight w:val="none"/>
              </w:rPr>
            </w:pPr>
            <w:r>
              <w:rPr>
                <w:rFonts w:hint="default" w:ascii="Times New Roman" w:hAnsi="Times New Roman" w:cs="Times New Roman"/>
                <w:b/>
                <w:color w:val="auto"/>
                <w:sz w:val="21"/>
                <w:szCs w:val="21"/>
                <w:highlight w:val="none"/>
              </w:rPr>
              <w:t>4、固体废物</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现有项目产生的固废主要为生产过程中产生的废</w:t>
            </w:r>
            <w:r>
              <w:rPr>
                <w:rFonts w:hint="eastAsia" w:cs="Times New Roman"/>
                <w:kern w:val="0"/>
                <w:sz w:val="21"/>
                <w:szCs w:val="21"/>
                <w:highlight w:val="none"/>
                <w:lang w:val="en-US" w:eastAsia="zh-CN"/>
              </w:rPr>
              <w:t>塑料</w:t>
            </w:r>
            <w:r>
              <w:rPr>
                <w:rFonts w:hint="default" w:ascii="Times New Roman" w:hAnsi="Times New Roman" w:eastAsia="宋体" w:cs="Times New Roman"/>
                <w:kern w:val="0"/>
                <w:sz w:val="21"/>
                <w:szCs w:val="21"/>
                <w:highlight w:val="none"/>
                <w:lang w:val="en-US" w:eastAsia="zh-CN"/>
              </w:rPr>
              <w:t>、废包装材料、废液压油、废油</w:t>
            </w:r>
            <w:r>
              <w:rPr>
                <w:rFonts w:hint="eastAsia" w:cs="Times New Roman"/>
                <w:kern w:val="0"/>
                <w:sz w:val="21"/>
                <w:szCs w:val="21"/>
                <w:highlight w:val="none"/>
                <w:lang w:val="en-US" w:eastAsia="zh-CN"/>
              </w:rPr>
              <w:t>桶</w:t>
            </w:r>
            <w:r>
              <w:rPr>
                <w:rFonts w:hint="default" w:ascii="Times New Roman" w:hAnsi="Times New Roman" w:eastAsia="宋体" w:cs="Times New Roman"/>
                <w:kern w:val="0"/>
                <w:sz w:val="21"/>
                <w:szCs w:val="21"/>
                <w:highlight w:val="none"/>
                <w:lang w:val="en-US" w:eastAsia="zh-CN"/>
              </w:rPr>
              <w:t>、废化学品容器</w:t>
            </w:r>
            <w:r>
              <w:rPr>
                <w:rFonts w:hint="eastAsia" w:cs="Times New Roman"/>
                <w:kern w:val="0"/>
                <w:sz w:val="21"/>
                <w:szCs w:val="21"/>
                <w:highlight w:val="none"/>
                <w:lang w:val="en-US" w:eastAsia="zh-CN"/>
              </w:rPr>
              <w:t>、废活性炭</w:t>
            </w:r>
            <w:r>
              <w:rPr>
                <w:rFonts w:hint="default" w:ascii="Times New Roman" w:hAnsi="Times New Roman" w:eastAsia="宋体" w:cs="Times New Roman"/>
                <w:kern w:val="0"/>
                <w:sz w:val="21"/>
                <w:szCs w:val="21"/>
                <w:highlight w:val="none"/>
                <w:lang w:val="en-US" w:eastAsia="zh-CN"/>
              </w:rPr>
              <w:t>以及生活垃圾；生活垃圾由当地环卫部门统一收集处理。废</w:t>
            </w:r>
            <w:r>
              <w:rPr>
                <w:rFonts w:hint="eastAsia" w:cs="Times New Roman"/>
                <w:kern w:val="0"/>
                <w:sz w:val="21"/>
                <w:szCs w:val="21"/>
                <w:highlight w:val="none"/>
                <w:lang w:val="en-US" w:eastAsia="zh-CN"/>
              </w:rPr>
              <w:t>塑料</w:t>
            </w:r>
            <w:r>
              <w:rPr>
                <w:rFonts w:hint="default" w:ascii="Times New Roman" w:hAnsi="Times New Roman" w:eastAsia="宋体" w:cs="Times New Roman"/>
                <w:kern w:val="0"/>
                <w:sz w:val="21"/>
                <w:szCs w:val="21"/>
                <w:highlight w:val="none"/>
                <w:lang w:val="en-US" w:eastAsia="zh-CN"/>
              </w:rPr>
              <w:t>、废包装材料统一收集后外售；废液压油、废油</w:t>
            </w:r>
            <w:r>
              <w:rPr>
                <w:rFonts w:hint="eastAsia" w:cs="Times New Roman"/>
                <w:kern w:val="0"/>
                <w:sz w:val="21"/>
                <w:szCs w:val="21"/>
                <w:highlight w:val="none"/>
                <w:lang w:val="en-US" w:eastAsia="zh-CN"/>
              </w:rPr>
              <w:t>桶</w:t>
            </w:r>
            <w:r>
              <w:rPr>
                <w:rFonts w:hint="default" w:ascii="Times New Roman" w:hAnsi="Times New Roman" w:eastAsia="宋体" w:cs="Times New Roman"/>
                <w:kern w:val="0"/>
                <w:sz w:val="21"/>
                <w:szCs w:val="21"/>
                <w:highlight w:val="none"/>
                <w:lang w:val="en-US" w:eastAsia="zh-CN"/>
              </w:rPr>
              <w:t>、废化学品容器委托有资质单位处置；固废对外零排放，不会对环境产生二次污染。</w:t>
            </w:r>
          </w:p>
          <w:p>
            <w:pPr>
              <w:pStyle w:val="29"/>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cs="Times New Roman"/>
                <w:b/>
                <w:szCs w:val="24"/>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2</w:t>
            </w:r>
            <w:r>
              <w:rPr>
                <w:rFonts w:hint="default" w:ascii="Times New Roman" w:hAnsi="Times New Roman" w:cs="Times New Roman"/>
                <w:b/>
                <w:sz w:val="21"/>
                <w:szCs w:val="21"/>
              </w:rPr>
              <w:t>-</w:t>
            </w:r>
            <w:r>
              <w:rPr>
                <w:rFonts w:hint="eastAsia" w:ascii="Times New Roman" w:hAnsi="Times New Roman" w:cs="Times New Roman"/>
                <w:b/>
                <w:sz w:val="21"/>
                <w:szCs w:val="21"/>
                <w:lang w:val="en-US" w:eastAsia="zh-CN"/>
              </w:rPr>
              <w:t>10</w:t>
            </w:r>
            <w:r>
              <w:rPr>
                <w:rFonts w:hint="default" w:ascii="Times New Roman" w:hAnsi="Times New Roman" w:cs="Times New Roman"/>
                <w:b/>
                <w:sz w:val="21"/>
                <w:szCs w:val="21"/>
                <w:lang w:val="en-US" w:eastAsia="zh-CN"/>
              </w:rPr>
              <w:t xml:space="preserve"> </w:t>
            </w:r>
            <w:r>
              <w:rPr>
                <w:rFonts w:hint="default" w:ascii="Times New Roman" w:hAnsi="Times New Roman" w:cs="Times New Roman"/>
                <w:b/>
                <w:sz w:val="21"/>
                <w:szCs w:val="21"/>
              </w:rPr>
              <w:t>固废产生情况一览表</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
              <w:gridCol w:w="977"/>
              <w:gridCol w:w="844"/>
              <w:gridCol w:w="861"/>
              <w:gridCol w:w="454"/>
              <w:gridCol w:w="1246"/>
              <w:gridCol w:w="797"/>
              <w:gridCol w:w="944"/>
              <w:gridCol w:w="875"/>
              <w:gridCol w:w="8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588"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固废名称</w:t>
                  </w:r>
                </w:p>
              </w:tc>
              <w:tc>
                <w:tcPr>
                  <w:tcW w:w="508"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属性</w:t>
                  </w:r>
                </w:p>
              </w:tc>
              <w:tc>
                <w:tcPr>
                  <w:tcW w:w="518"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生产工序</w:t>
                  </w:r>
                </w:p>
              </w:tc>
              <w:tc>
                <w:tcPr>
                  <w:tcW w:w="273"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形态</w:t>
                  </w:r>
                </w:p>
              </w:tc>
              <w:tc>
                <w:tcPr>
                  <w:tcW w:w="750"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主要成分</w:t>
                  </w:r>
                </w:p>
              </w:tc>
              <w:tc>
                <w:tcPr>
                  <w:tcW w:w="480"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危险特性</w:t>
                  </w:r>
                </w:p>
              </w:tc>
              <w:tc>
                <w:tcPr>
                  <w:tcW w:w="568"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废物类别</w:t>
                  </w:r>
                </w:p>
              </w:tc>
              <w:tc>
                <w:tcPr>
                  <w:tcW w:w="527"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废物代码</w:t>
                  </w:r>
                </w:p>
              </w:tc>
              <w:tc>
                <w:tcPr>
                  <w:tcW w:w="540" w:type="pct"/>
                  <w:tcBorders>
                    <w:tl2br w:val="nil"/>
                    <w:tr2bl w:val="nil"/>
                  </w:tcBorders>
                  <w:vAlign w:val="center"/>
                </w:tcPr>
                <w:p>
                  <w:pPr>
                    <w:tabs>
                      <w:tab w:val="left" w:pos="993"/>
                      <w:tab w:val="left" w:pos="1276"/>
                    </w:tabs>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c>
                <w:tcPr>
                  <w:tcW w:w="588" w:type="pct"/>
                  <w:tcBorders>
                    <w:tl2br w:val="nil"/>
                    <w:tr2bl w:val="nil"/>
                  </w:tcBorders>
                  <w:vAlign w:val="center"/>
                </w:tcPr>
                <w:p>
                  <w:pPr>
                    <w:tabs>
                      <w:tab w:val="left" w:pos="993"/>
                      <w:tab w:val="left" w:pos="1276"/>
                    </w:tabs>
                    <w:adjustRightInd w:val="0"/>
                    <w:snapToGrid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废塑料</w:t>
                  </w:r>
                </w:p>
              </w:tc>
              <w:tc>
                <w:tcPr>
                  <w:tcW w:w="508"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一般固废</w:t>
                  </w:r>
                </w:p>
              </w:tc>
              <w:tc>
                <w:tcPr>
                  <w:tcW w:w="518" w:type="pc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注塑</w:t>
                  </w:r>
                </w:p>
              </w:tc>
              <w:tc>
                <w:tcPr>
                  <w:tcW w:w="273" w:type="pc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固</w:t>
                  </w:r>
                </w:p>
              </w:tc>
              <w:tc>
                <w:tcPr>
                  <w:tcW w:w="750"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塑料</w:t>
                  </w:r>
                </w:p>
              </w:tc>
              <w:tc>
                <w:tcPr>
                  <w:tcW w:w="480" w:type="pc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68" w:type="pct"/>
                  <w:tcBorders>
                    <w:tl2br w:val="nil"/>
                    <w:tr2bl w:val="nil"/>
                  </w:tcBorders>
                  <w:vAlign w:val="center"/>
                </w:tcPr>
                <w:p>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kern w:val="2"/>
                      <w:sz w:val="18"/>
                      <w:szCs w:val="18"/>
                      <w:highlight w:val="none"/>
                      <w:lang w:val="en-US" w:eastAsia="zh-CN" w:bidi="ar-SA"/>
                    </w:rPr>
                    <w:t>06</w:t>
                  </w:r>
                </w:p>
              </w:tc>
              <w:tc>
                <w:tcPr>
                  <w:tcW w:w="527" w:type="pct"/>
                  <w:tcBorders>
                    <w:tl2br w:val="nil"/>
                    <w:tr2bl w:val="nil"/>
                  </w:tcBorders>
                  <w:vAlign w:val="center"/>
                </w:tcPr>
                <w:p>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auto"/>
                      <w:sz w:val="18"/>
                      <w:szCs w:val="18"/>
                      <w:shd w:val="clear" w:color="auto" w:fill="FFFFFF"/>
                      <w:lang w:val="en-US" w:eastAsia="zh-CN"/>
                    </w:rPr>
                  </w:pPr>
                  <w:r>
                    <w:rPr>
                      <w:rFonts w:hint="eastAsia" w:ascii="Times New Roman" w:hAnsi="Times New Roman" w:eastAsia="宋体" w:cs="Times New Roman"/>
                      <w:color w:val="auto"/>
                      <w:kern w:val="2"/>
                      <w:sz w:val="18"/>
                      <w:szCs w:val="18"/>
                      <w:highlight w:val="none"/>
                      <w:lang w:val="en-US" w:eastAsia="zh-CN" w:bidi="ar-SA"/>
                    </w:rPr>
                    <w:t>292-001-06</w:t>
                  </w:r>
                </w:p>
              </w:tc>
              <w:tc>
                <w:tcPr>
                  <w:tcW w:w="540"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eastAsia="zh-CN"/>
                    </w:rPr>
                  </w:pPr>
                  <w:r>
                    <w:rPr>
                      <w:rFonts w:hint="eastAsia" w:cs="Times New Roman"/>
                      <w:sz w:val="18"/>
                      <w:szCs w:val="18"/>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588" w:type="pc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废包装材料</w:t>
                  </w:r>
                </w:p>
              </w:tc>
              <w:tc>
                <w:tcPr>
                  <w:tcW w:w="508" w:type="pct"/>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eastAsia="zh-CN"/>
                    </w:rPr>
                  </w:pPr>
                </w:p>
              </w:tc>
              <w:tc>
                <w:tcPr>
                  <w:tcW w:w="518"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包装</w:t>
                  </w:r>
                </w:p>
              </w:tc>
              <w:tc>
                <w:tcPr>
                  <w:tcW w:w="273"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固</w:t>
                  </w:r>
                </w:p>
              </w:tc>
              <w:tc>
                <w:tcPr>
                  <w:tcW w:w="750" w:type="pct"/>
                  <w:tcBorders>
                    <w:tl2br w:val="nil"/>
                    <w:tr2bl w:val="nil"/>
                  </w:tcBorders>
                  <w:vAlign w:val="center"/>
                </w:tcPr>
                <w:p>
                  <w:pPr>
                    <w:tabs>
                      <w:tab w:val="left" w:pos="993"/>
                      <w:tab w:val="left" w:pos="1276"/>
                    </w:tabs>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纸板</w:t>
                  </w:r>
                </w:p>
              </w:tc>
              <w:tc>
                <w:tcPr>
                  <w:tcW w:w="480"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568"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07</w:t>
                  </w:r>
                </w:p>
              </w:tc>
              <w:tc>
                <w:tcPr>
                  <w:tcW w:w="527"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shd w:val="clear" w:color="auto" w:fill="FFFFFF"/>
                      <w:lang w:val="en-US" w:eastAsia="zh-CN"/>
                    </w:rPr>
                  </w:pPr>
                  <w:r>
                    <w:rPr>
                      <w:rFonts w:hint="eastAsia" w:ascii="Times New Roman" w:hAnsi="Times New Roman" w:eastAsia="宋体" w:cs="Times New Roman"/>
                      <w:color w:val="auto"/>
                      <w:kern w:val="2"/>
                      <w:sz w:val="18"/>
                      <w:szCs w:val="18"/>
                      <w:highlight w:val="none"/>
                      <w:lang w:val="en-US" w:eastAsia="zh-CN" w:bidi="ar-SA"/>
                    </w:rPr>
                    <w:t>900-999-</w:t>
                  </w:r>
                  <w:r>
                    <w:rPr>
                      <w:rFonts w:hint="eastAsia" w:cs="Times New Roman"/>
                      <w:color w:val="auto"/>
                      <w:sz w:val="18"/>
                      <w:szCs w:val="18"/>
                      <w:shd w:val="clear" w:color="auto" w:fill="FFFFFF"/>
                      <w:lang w:val="en-US" w:eastAsia="zh-CN"/>
                    </w:rPr>
                    <w:t>07</w:t>
                  </w:r>
                </w:p>
              </w:tc>
              <w:tc>
                <w:tcPr>
                  <w:tcW w:w="540"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eastAsia="zh-CN"/>
                    </w:rPr>
                  </w:pPr>
                  <w:r>
                    <w:rPr>
                      <w:rFonts w:hint="eastAsia" w:cs="Times New Roman"/>
                      <w:sz w:val="18"/>
                      <w:szCs w:val="18"/>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color w:val="auto"/>
                      <w:sz w:val="18"/>
                      <w:szCs w:val="18"/>
                      <w:lang w:val="en-US" w:eastAsia="zh-CN"/>
                    </w:rPr>
                    <w:t>3</w:t>
                  </w:r>
                </w:p>
              </w:tc>
              <w:tc>
                <w:tcPr>
                  <w:tcW w:w="588"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生活垃圾</w:t>
                  </w:r>
                </w:p>
              </w:tc>
              <w:tc>
                <w:tcPr>
                  <w:tcW w:w="508"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生活垃圾</w:t>
                  </w:r>
                </w:p>
              </w:tc>
              <w:tc>
                <w:tcPr>
                  <w:tcW w:w="518"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职工生活</w:t>
                  </w:r>
                </w:p>
              </w:tc>
              <w:tc>
                <w:tcPr>
                  <w:tcW w:w="273"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固</w:t>
                  </w:r>
                </w:p>
              </w:tc>
              <w:tc>
                <w:tcPr>
                  <w:tcW w:w="750"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食品废物、纸张等</w:t>
                  </w:r>
                </w:p>
              </w:tc>
              <w:tc>
                <w:tcPr>
                  <w:tcW w:w="480"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Style w:val="33"/>
                      <w:rFonts w:hint="default" w:ascii="Times New Roman" w:hAnsi="Times New Roman" w:cs="Times New Roman"/>
                      <w:smallCaps w:val="0"/>
                      <w:color w:val="auto"/>
                      <w:sz w:val="18"/>
                      <w:szCs w:val="18"/>
                      <w:u w:val="none"/>
                    </w:rPr>
                    <w:t>/</w:t>
                  </w:r>
                </w:p>
              </w:tc>
              <w:tc>
                <w:tcPr>
                  <w:tcW w:w="568" w:type="pct"/>
                  <w:tcBorders>
                    <w:tl2br w:val="nil"/>
                    <w:tr2bl w:val="nil"/>
                  </w:tcBorders>
                  <w:vAlign w:val="center"/>
                </w:tcPr>
                <w:p>
                  <w:pPr>
                    <w:keepNext w:val="0"/>
                    <w:keepLines w:val="0"/>
                    <w:pageBreakBefore w:val="0"/>
                    <w:kinsoku/>
                    <w:wordWrap/>
                    <w:overflowPunct/>
                    <w:topLinePunct w:val="0"/>
                    <w:bidi w:val="0"/>
                    <w:adjustRightInd/>
                    <w:snapToGrid/>
                    <w:jc w:val="center"/>
                    <w:rPr>
                      <w:rFonts w:hint="default" w:ascii="Times New Roman" w:hAnsi="Times New Roman" w:cs="Times New Roman"/>
                      <w:sz w:val="18"/>
                      <w:szCs w:val="18"/>
                    </w:rPr>
                  </w:pPr>
                  <w:r>
                    <w:rPr>
                      <w:rFonts w:hint="eastAsia" w:ascii="Times New Roman" w:hAnsi="Times New Roman" w:eastAsia="宋体" w:cs="Times New Roman"/>
                      <w:color w:val="auto"/>
                      <w:kern w:val="2"/>
                      <w:sz w:val="18"/>
                      <w:szCs w:val="18"/>
                      <w:highlight w:val="none"/>
                      <w:lang w:val="en-US" w:eastAsia="zh-CN" w:bidi="ar-SA"/>
                    </w:rPr>
                    <w:t>99</w:t>
                  </w:r>
                </w:p>
              </w:tc>
              <w:tc>
                <w:tcPr>
                  <w:tcW w:w="527" w:type="pct"/>
                  <w:tcBorders>
                    <w:tl2br w:val="nil"/>
                    <w:tr2bl w:val="nil"/>
                  </w:tcBorders>
                  <w:vAlign w:val="center"/>
                </w:tcPr>
                <w:p>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cs="Times New Roman"/>
                      <w:sz w:val="18"/>
                      <w:szCs w:val="18"/>
                      <w:shd w:val="clear" w:color="auto" w:fill="FFFFFF"/>
                    </w:rPr>
                  </w:pPr>
                  <w:r>
                    <w:rPr>
                      <w:rFonts w:hint="eastAsia" w:ascii="Times New Roman" w:hAnsi="Times New Roman" w:eastAsia="宋体" w:cs="Times New Roman"/>
                      <w:color w:val="auto"/>
                      <w:kern w:val="2"/>
                      <w:sz w:val="18"/>
                      <w:szCs w:val="18"/>
                      <w:highlight w:val="none"/>
                      <w:lang w:val="en-US" w:eastAsia="zh-CN" w:bidi="ar-SA"/>
                    </w:rPr>
                    <w:t>900-999-99</w:t>
                  </w:r>
                </w:p>
              </w:tc>
              <w:tc>
                <w:tcPr>
                  <w:tcW w:w="540" w:type="pct"/>
                  <w:tcBorders>
                    <w:tl2br w:val="nil"/>
                    <w:tr2bl w:val="nil"/>
                  </w:tcBorders>
                  <w:vAlign w:val="center"/>
                </w:tcPr>
                <w:p>
                  <w:pPr>
                    <w:tabs>
                      <w:tab w:val="left" w:pos="993"/>
                      <w:tab w:val="left" w:pos="1276"/>
                    </w:tabs>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27" w:type="dxa"/>
                  <w:tcBorders>
                    <w:tl2br w:val="nil"/>
                    <w:tr2bl w:val="nil"/>
                  </w:tcBorders>
                  <w:vAlign w:val="center"/>
                </w:tcPr>
                <w:p>
                  <w:pPr>
                    <w:adjustRightInd w:val="0"/>
                    <w:snapToGrid w:val="0"/>
                    <w:jc w:val="center"/>
                    <w:rPr>
                      <w:rStyle w:val="33"/>
                      <w:rFonts w:hint="default" w:ascii="Times New Roman" w:hAnsi="Times New Roman" w:eastAsia="宋体" w:cs="Times New Roman"/>
                      <w:smallCaps w:val="0"/>
                      <w:color w:val="auto"/>
                      <w:sz w:val="18"/>
                      <w:szCs w:val="18"/>
                      <w:u w:val="none"/>
                      <w:lang w:eastAsia="zh-CN"/>
                    </w:rPr>
                  </w:pPr>
                  <w:r>
                    <w:rPr>
                      <w:rFonts w:hint="default" w:ascii="Times New Roman" w:hAnsi="Times New Roman" w:cs="Times New Roman"/>
                      <w:sz w:val="18"/>
                      <w:szCs w:val="18"/>
                      <w:lang w:val="en-US" w:eastAsia="zh-CN"/>
                    </w:rPr>
                    <w:t>4</w:t>
                  </w:r>
                </w:p>
              </w:tc>
              <w:tc>
                <w:tcPr>
                  <w:tcW w:w="588"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废</w:t>
                  </w:r>
                  <w:r>
                    <w:rPr>
                      <w:rFonts w:hint="default" w:ascii="Times New Roman" w:hAnsi="Times New Roman" w:cs="Times New Roman"/>
                      <w:sz w:val="18"/>
                      <w:szCs w:val="18"/>
                      <w:lang w:val="en-US" w:eastAsia="zh-CN"/>
                    </w:rPr>
                    <w:t>液压</w:t>
                  </w:r>
                  <w:r>
                    <w:rPr>
                      <w:rFonts w:hint="default" w:ascii="Times New Roman" w:hAnsi="Times New Roman" w:cs="Times New Roman"/>
                      <w:sz w:val="18"/>
                      <w:szCs w:val="18"/>
                    </w:rPr>
                    <w:t>油</w:t>
                  </w:r>
                </w:p>
              </w:tc>
              <w:tc>
                <w:tcPr>
                  <w:tcW w:w="508" w:type="pct"/>
                  <w:vMerge w:val="restar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危险废物</w:t>
                  </w:r>
                </w:p>
              </w:tc>
              <w:tc>
                <w:tcPr>
                  <w:tcW w:w="518"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注塑</w:t>
                  </w:r>
                </w:p>
              </w:tc>
              <w:tc>
                <w:tcPr>
                  <w:tcW w:w="273"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液</w:t>
                  </w:r>
                </w:p>
              </w:tc>
              <w:tc>
                <w:tcPr>
                  <w:tcW w:w="750"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矿物油</w:t>
                  </w:r>
                </w:p>
              </w:tc>
              <w:tc>
                <w:tcPr>
                  <w:tcW w:w="480"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T，In</w:t>
                  </w:r>
                </w:p>
              </w:tc>
              <w:tc>
                <w:tcPr>
                  <w:tcW w:w="568"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sz w:val="18"/>
                      <w:szCs w:val="18"/>
                    </w:rPr>
                    <w:t>HW08</w:t>
                  </w:r>
                </w:p>
              </w:tc>
              <w:tc>
                <w:tcPr>
                  <w:tcW w:w="527"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shd w:val="clear" w:color="auto" w:fill="FFFFFF"/>
                      <w:lang w:val="en-US" w:eastAsia="zh-CN"/>
                    </w:rPr>
                  </w:pPr>
                  <w:r>
                    <w:rPr>
                      <w:rFonts w:hint="default"/>
                      <w:sz w:val="18"/>
                      <w:szCs w:val="18"/>
                    </w:rPr>
                    <w:t>900-2</w:t>
                  </w:r>
                  <w:r>
                    <w:rPr>
                      <w:rFonts w:hint="default"/>
                      <w:sz w:val="18"/>
                      <w:szCs w:val="18"/>
                      <w:lang w:val="en-US" w:eastAsia="zh-CN"/>
                    </w:rPr>
                    <w:t>1</w:t>
                  </w:r>
                  <w:r>
                    <w:rPr>
                      <w:rFonts w:hint="eastAsia"/>
                      <w:sz w:val="18"/>
                      <w:szCs w:val="18"/>
                      <w:lang w:val="en-US" w:eastAsia="zh-CN"/>
                    </w:rPr>
                    <w:t>7</w:t>
                  </w:r>
                  <w:r>
                    <w:rPr>
                      <w:rFonts w:hint="default"/>
                      <w:sz w:val="18"/>
                      <w:szCs w:val="18"/>
                    </w:rPr>
                    <w:t>-08</w:t>
                  </w:r>
                </w:p>
              </w:tc>
              <w:tc>
                <w:tcPr>
                  <w:tcW w:w="540" w:type="pct"/>
                  <w:tcBorders>
                    <w:tl2br w:val="nil"/>
                    <w:tr2bl w:val="nil"/>
                  </w:tcBorders>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27" w:type="dxa"/>
                  <w:tcBorders>
                    <w:tl2br w:val="nil"/>
                    <w:tr2bl w:val="nil"/>
                  </w:tcBorders>
                  <w:vAlign w:val="center"/>
                </w:tcPr>
                <w:p>
                  <w:pPr>
                    <w:adjustRightInd w:val="0"/>
                    <w:snapToGrid w:val="0"/>
                    <w:jc w:val="center"/>
                    <w:rPr>
                      <w:rStyle w:val="33"/>
                      <w:rFonts w:hint="default" w:ascii="Times New Roman" w:hAnsi="Times New Roman" w:cs="Times New Roman"/>
                      <w:smallCaps w:val="0"/>
                      <w:color w:val="auto"/>
                      <w:sz w:val="18"/>
                      <w:szCs w:val="18"/>
                      <w:u w:val="none"/>
                      <w:lang w:val="en-US" w:eastAsia="zh-CN"/>
                    </w:rPr>
                  </w:pPr>
                  <w:r>
                    <w:rPr>
                      <w:rStyle w:val="33"/>
                      <w:rFonts w:hint="eastAsia" w:cs="Times New Roman"/>
                      <w:smallCaps w:val="0"/>
                      <w:color w:val="auto"/>
                      <w:sz w:val="18"/>
                      <w:szCs w:val="18"/>
                      <w:u w:val="none"/>
                      <w:lang w:val="en-US" w:eastAsia="zh-CN"/>
                    </w:rPr>
                    <w:t>5</w:t>
                  </w:r>
                </w:p>
              </w:tc>
              <w:tc>
                <w:tcPr>
                  <w:tcW w:w="588" w:type="pct"/>
                  <w:tcBorders>
                    <w:tl2br w:val="nil"/>
                    <w:tr2bl w:val="nil"/>
                  </w:tcBorders>
                  <w:vAlign w:val="center"/>
                </w:tcPr>
                <w:p>
                  <w:pPr>
                    <w:adjustRightInd w:val="0"/>
                    <w:snapToGrid w:val="0"/>
                    <w:jc w:val="center"/>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废油</w:t>
                  </w:r>
                  <w:r>
                    <w:rPr>
                      <w:rFonts w:hint="eastAsia" w:ascii="Times New Roman" w:hAnsi="Times New Roman" w:cs="Times New Roman"/>
                      <w:sz w:val="18"/>
                      <w:szCs w:val="18"/>
                      <w:lang w:val="en-US" w:eastAsia="zh-CN"/>
                    </w:rPr>
                    <w:t>桶</w:t>
                  </w:r>
                </w:p>
              </w:tc>
              <w:tc>
                <w:tcPr>
                  <w:tcW w:w="508" w:type="pct"/>
                  <w:vMerge w:val="continue"/>
                  <w:tcBorders>
                    <w:tl2br w:val="nil"/>
                    <w:tr2bl w:val="nil"/>
                  </w:tcBorders>
                </w:tcPr>
                <w:p>
                  <w:pPr>
                    <w:adjustRightInd w:val="0"/>
                    <w:snapToGrid w:val="0"/>
                    <w:jc w:val="center"/>
                    <w:rPr>
                      <w:rFonts w:hint="default" w:ascii="Times New Roman" w:hAnsi="Times New Roman" w:cs="Times New Roman"/>
                      <w:sz w:val="18"/>
                      <w:szCs w:val="18"/>
                    </w:rPr>
                  </w:pPr>
                </w:p>
              </w:tc>
              <w:tc>
                <w:tcPr>
                  <w:tcW w:w="518" w:type="pct"/>
                  <w:tcBorders>
                    <w:tl2br w:val="nil"/>
                    <w:tr2bl w:val="nil"/>
                  </w:tcBorders>
                  <w:vAlign w:val="center"/>
                </w:tcPr>
                <w:p>
                  <w:pPr>
                    <w:adjustRightInd w:val="0"/>
                    <w:snapToGrid w:val="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注塑</w:t>
                  </w:r>
                </w:p>
              </w:tc>
              <w:tc>
                <w:tcPr>
                  <w:tcW w:w="273" w:type="pct"/>
                  <w:tcBorders>
                    <w:tl2br w:val="nil"/>
                    <w:tr2bl w:val="nil"/>
                  </w:tcBorders>
                  <w:vAlign w:val="center"/>
                </w:tcPr>
                <w:p>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固</w:t>
                  </w:r>
                </w:p>
              </w:tc>
              <w:tc>
                <w:tcPr>
                  <w:tcW w:w="750" w:type="pct"/>
                  <w:tcBorders>
                    <w:tl2br w:val="nil"/>
                    <w:tr2bl w:val="nil"/>
                  </w:tcBorders>
                  <w:vAlign w:val="center"/>
                </w:tcPr>
                <w:p>
                  <w:pPr>
                    <w:tabs>
                      <w:tab w:val="left" w:pos="993"/>
                      <w:tab w:val="left" w:pos="1276"/>
                    </w:tabs>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油</w:t>
                  </w:r>
                  <w:r>
                    <w:rPr>
                      <w:rFonts w:hint="eastAsia" w:ascii="Times New Roman" w:hAnsi="Times New Roman" w:cs="Times New Roman"/>
                      <w:sz w:val="18"/>
                      <w:szCs w:val="18"/>
                      <w:lang w:val="en-US" w:eastAsia="zh-CN"/>
                    </w:rPr>
                    <w:t>桶</w:t>
                  </w:r>
                </w:p>
              </w:tc>
              <w:tc>
                <w:tcPr>
                  <w:tcW w:w="480"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color w:val="auto"/>
                      <w:sz w:val="18"/>
                      <w:szCs w:val="18"/>
                      <w:lang w:val="en-US" w:eastAsia="zh-CN"/>
                    </w:rPr>
                    <w:t>T，I</w:t>
                  </w:r>
                </w:p>
              </w:tc>
              <w:tc>
                <w:tcPr>
                  <w:tcW w:w="568" w:type="pct"/>
                  <w:tcBorders>
                    <w:tl2br w:val="nil"/>
                    <w:tr2bl w:val="nil"/>
                  </w:tcBorders>
                  <w:vAlign w:val="center"/>
                </w:tcPr>
                <w:p>
                  <w:pPr>
                    <w:adjustRightInd w:val="0"/>
                    <w:snapToGrid w:val="0"/>
                    <w:jc w:val="center"/>
                    <w:rPr>
                      <w:rFonts w:hint="default"/>
                      <w:sz w:val="18"/>
                      <w:szCs w:val="18"/>
                    </w:rPr>
                  </w:pPr>
                  <w:r>
                    <w:rPr>
                      <w:rFonts w:hint="default"/>
                      <w:sz w:val="18"/>
                      <w:szCs w:val="18"/>
                    </w:rPr>
                    <w:t>HW08</w:t>
                  </w:r>
                </w:p>
              </w:tc>
              <w:tc>
                <w:tcPr>
                  <w:tcW w:w="527" w:type="pct"/>
                  <w:tcBorders>
                    <w:tl2br w:val="nil"/>
                    <w:tr2bl w:val="nil"/>
                  </w:tcBorders>
                  <w:vAlign w:val="center"/>
                </w:tcPr>
                <w:p>
                  <w:pPr>
                    <w:adjustRightInd w:val="0"/>
                    <w:snapToGrid w:val="0"/>
                    <w:jc w:val="center"/>
                    <w:rPr>
                      <w:rFonts w:hint="default"/>
                      <w:sz w:val="18"/>
                      <w:szCs w:val="18"/>
                    </w:rPr>
                  </w:pPr>
                  <w:r>
                    <w:rPr>
                      <w:rFonts w:hint="default"/>
                      <w:sz w:val="18"/>
                      <w:szCs w:val="18"/>
                    </w:rPr>
                    <w:t>900-2</w:t>
                  </w:r>
                  <w:r>
                    <w:rPr>
                      <w:rFonts w:hint="eastAsia"/>
                      <w:sz w:val="18"/>
                      <w:szCs w:val="18"/>
                      <w:lang w:val="en-US" w:eastAsia="zh-CN"/>
                    </w:rPr>
                    <w:t>49</w:t>
                  </w:r>
                  <w:r>
                    <w:rPr>
                      <w:rFonts w:hint="default"/>
                      <w:sz w:val="18"/>
                      <w:szCs w:val="18"/>
                    </w:rPr>
                    <w:t>-08</w:t>
                  </w:r>
                </w:p>
              </w:tc>
              <w:tc>
                <w:tcPr>
                  <w:tcW w:w="540" w:type="pct"/>
                  <w:tcBorders>
                    <w:tl2br w:val="nil"/>
                    <w:tr2bl w:val="nil"/>
                  </w:tcBorders>
                  <w:vAlign w:val="center"/>
                </w:tcPr>
                <w:p>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tcBorders>
                    <w:tl2br w:val="nil"/>
                    <w:tr2bl w:val="nil"/>
                  </w:tcBorders>
                  <w:vAlign w:val="center"/>
                </w:tcPr>
                <w:p>
                  <w:pPr>
                    <w:adjustRightInd w:val="0"/>
                    <w:snapToGrid w:val="0"/>
                    <w:jc w:val="center"/>
                    <w:rPr>
                      <w:rStyle w:val="33"/>
                      <w:rFonts w:hint="default" w:ascii="Times New Roman" w:hAnsi="Times New Roman" w:eastAsia="宋体" w:cs="Times New Roman"/>
                      <w:smallCaps w:val="0"/>
                      <w:color w:val="auto"/>
                      <w:sz w:val="18"/>
                      <w:szCs w:val="18"/>
                      <w:u w:val="none"/>
                      <w:lang w:eastAsia="zh-CN"/>
                    </w:rPr>
                  </w:pPr>
                  <w:r>
                    <w:rPr>
                      <w:rStyle w:val="33"/>
                      <w:rFonts w:hint="eastAsia" w:cs="Times New Roman"/>
                      <w:smallCaps w:val="0"/>
                      <w:color w:val="auto"/>
                      <w:sz w:val="18"/>
                      <w:szCs w:val="18"/>
                      <w:u w:val="none"/>
                      <w:lang w:val="en-US" w:eastAsia="zh-CN"/>
                    </w:rPr>
                    <w:t>6</w:t>
                  </w:r>
                </w:p>
              </w:tc>
              <w:tc>
                <w:tcPr>
                  <w:tcW w:w="588"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废化学品容器</w:t>
                  </w:r>
                </w:p>
              </w:tc>
              <w:tc>
                <w:tcPr>
                  <w:tcW w:w="508" w:type="pct"/>
                  <w:vMerge w:val="continue"/>
                  <w:tcBorders>
                    <w:tl2br w:val="nil"/>
                    <w:tr2bl w:val="nil"/>
                  </w:tcBorders>
                </w:tcPr>
                <w:p>
                  <w:pPr>
                    <w:adjustRightInd w:val="0"/>
                    <w:snapToGrid w:val="0"/>
                    <w:jc w:val="center"/>
                    <w:rPr>
                      <w:rFonts w:hint="default" w:ascii="Times New Roman" w:hAnsi="Times New Roman" w:cs="Times New Roman"/>
                      <w:sz w:val="18"/>
                      <w:szCs w:val="18"/>
                    </w:rPr>
                  </w:pPr>
                </w:p>
              </w:tc>
              <w:tc>
                <w:tcPr>
                  <w:tcW w:w="518"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注塑</w:t>
                  </w:r>
                </w:p>
              </w:tc>
              <w:tc>
                <w:tcPr>
                  <w:tcW w:w="273"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固</w:t>
                  </w:r>
                </w:p>
              </w:tc>
              <w:tc>
                <w:tcPr>
                  <w:tcW w:w="750" w:type="pct"/>
                  <w:tcBorders>
                    <w:tl2br w:val="nil"/>
                    <w:tr2bl w:val="nil"/>
                  </w:tcBorders>
                  <w:vAlign w:val="center"/>
                </w:tcPr>
                <w:p>
                  <w:pPr>
                    <w:tabs>
                      <w:tab w:val="left" w:pos="993"/>
                      <w:tab w:val="left" w:pos="1276"/>
                    </w:tabs>
                    <w:adjustRightInd w:val="0"/>
                    <w:snapToGrid w:val="0"/>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化学试剂</w:t>
                  </w:r>
                </w:p>
              </w:tc>
              <w:tc>
                <w:tcPr>
                  <w:tcW w:w="480"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T/In</w:t>
                  </w:r>
                </w:p>
              </w:tc>
              <w:tc>
                <w:tcPr>
                  <w:tcW w:w="568"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sz w:val="18"/>
                      <w:szCs w:val="18"/>
                    </w:rPr>
                    <w:t>HW49</w:t>
                  </w:r>
                </w:p>
              </w:tc>
              <w:tc>
                <w:tcPr>
                  <w:tcW w:w="527" w:type="pct"/>
                  <w:tcBorders>
                    <w:tl2br w:val="nil"/>
                    <w:tr2bl w:val="nil"/>
                  </w:tcBorders>
                  <w:vAlign w:val="center"/>
                </w:tcPr>
                <w:p>
                  <w:pPr>
                    <w:adjustRightInd w:val="0"/>
                    <w:snapToGrid w:val="0"/>
                    <w:jc w:val="center"/>
                    <w:rPr>
                      <w:rFonts w:hint="default" w:ascii="Times New Roman" w:hAnsi="Times New Roman" w:cs="Times New Roman"/>
                      <w:sz w:val="18"/>
                      <w:szCs w:val="18"/>
                      <w:shd w:val="clear" w:color="auto" w:fill="FFFFFF"/>
                    </w:rPr>
                  </w:pPr>
                  <w:r>
                    <w:rPr>
                      <w:rFonts w:hint="default"/>
                      <w:sz w:val="18"/>
                      <w:szCs w:val="18"/>
                    </w:rPr>
                    <w:t>900-041-49</w:t>
                  </w:r>
                </w:p>
              </w:tc>
              <w:tc>
                <w:tcPr>
                  <w:tcW w:w="540"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highlight w:val="none"/>
                      <w:lang w:val="en-US" w:eastAsia="zh-CN"/>
                    </w:rPr>
                    <w:t>0.</w:t>
                  </w:r>
                  <w:r>
                    <w:rPr>
                      <w:rFonts w:hint="eastAsia" w:cs="Times New Roman"/>
                      <w:sz w:val="18"/>
                      <w:szCs w:val="18"/>
                      <w:highlight w:val="no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 w:type="pct"/>
                  <w:tcBorders>
                    <w:tl2br w:val="nil"/>
                    <w:tr2bl w:val="nil"/>
                  </w:tcBorders>
                  <w:vAlign w:val="center"/>
                </w:tcPr>
                <w:p>
                  <w:pPr>
                    <w:adjustRightInd w:val="0"/>
                    <w:snapToGrid w:val="0"/>
                    <w:jc w:val="center"/>
                    <w:rPr>
                      <w:rStyle w:val="33"/>
                      <w:rFonts w:hint="default" w:ascii="Times New Roman" w:hAnsi="Times New Roman" w:cs="Times New Roman"/>
                      <w:smallCaps w:val="0"/>
                      <w:color w:val="auto"/>
                      <w:sz w:val="18"/>
                      <w:szCs w:val="18"/>
                      <w:u w:val="none"/>
                      <w:lang w:val="en-US" w:eastAsia="zh-CN"/>
                    </w:rPr>
                  </w:pPr>
                  <w:r>
                    <w:rPr>
                      <w:rStyle w:val="33"/>
                      <w:rFonts w:hint="eastAsia" w:cs="Times New Roman"/>
                      <w:smallCaps w:val="0"/>
                      <w:color w:val="auto"/>
                      <w:sz w:val="18"/>
                      <w:szCs w:val="18"/>
                      <w:u w:val="none"/>
                      <w:lang w:val="en-US" w:eastAsia="zh-CN"/>
                    </w:rPr>
                    <w:t>7</w:t>
                  </w:r>
                </w:p>
              </w:tc>
              <w:tc>
                <w:tcPr>
                  <w:tcW w:w="588" w:type="pct"/>
                  <w:tcBorders>
                    <w:tl2br w:val="nil"/>
                    <w:tr2bl w:val="nil"/>
                  </w:tcBorders>
                  <w:vAlign w:val="center"/>
                </w:tcPr>
                <w:p>
                  <w:pPr>
                    <w:adjustRightInd w:val="0"/>
                    <w:snapToGrid w:val="0"/>
                    <w:jc w:val="center"/>
                    <w:rPr>
                      <w:rFonts w:hint="default" w:ascii="Times New Roman" w:hAnsi="Times New Roman" w:cs="Times New Roman"/>
                      <w:sz w:val="18"/>
                      <w:szCs w:val="18"/>
                      <w:lang w:eastAsia="zh-CN"/>
                    </w:rPr>
                  </w:pPr>
                  <w:r>
                    <w:rPr>
                      <w:rFonts w:hint="default" w:ascii="Times New Roman" w:hAnsi="Times New Roman" w:eastAsia="宋体" w:cs="Times New Roman"/>
                      <w:color w:val="auto"/>
                      <w:sz w:val="18"/>
                      <w:szCs w:val="18"/>
                      <w:highlight w:val="none"/>
                    </w:rPr>
                    <w:t>废活性炭</w:t>
                  </w:r>
                </w:p>
              </w:tc>
              <w:tc>
                <w:tcPr>
                  <w:tcW w:w="508" w:type="pct"/>
                  <w:vMerge w:val="continue"/>
                  <w:tcBorders>
                    <w:tl2br w:val="nil"/>
                    <w:tr2bl w:val="nil"/>
                  </w:tcBorders>
                  <w:vAlign w:val="center"/>
                </w:tcPr>
                <w:p>
                  <w:pPr>
                    <w:keepNext w:val="0"/>
                    <w:keepLines w:val="0"/>
                    <w:pageBreakBefore w:val="0"/>
                    <w:kinsoku/>
                    <w:wordWrap/>
                    <w:overflowPunct/>
                    <w:topLinePunct w:val="0"/>
                    <w:bidi w:val="0"/>
                    <w:adjustRightInd/>
                    <w:snapToGrid/>
                    <w:jc w:val="center"/>
                    <w:rPr>
                      <w:rFonts w:hint="default" w:ascii="Times New Roman" w:hAnsi="Times New Roman" w:cs="Times New Roman"/>
                      <w:sz w:val="18"/>
                      <w:szCs w:val="18"/>
                    </w:rPr>
                  </w:pPr>
                </w:p>
              </w:tc>
              <w:tc>
                <w:tcPr>
                  <w:tcW w:w="518" w:type="pct"/>
                  <w:tcBorders>
                    <w:tl2br w:val="nil"/>
                    <w:tr2bl w:val="nil"/>
                  </w:tcBorders>
                  <w:vAlign w:val="center"/>
                </w:tcPr>
                <w:p>
                  <w:pPr>
                    <w:adjustRightInd w:val="0"/>
                    <w:snapToGrid w:val="0"/>
                    <w:jc w:val="center"/>
                    <w:rPr>
                      <w:rFonts w:hint="default" w:ascii="Times New Roman" w:hAnsi="Times New Roman" w:cs="Times New Roman"/>
                      <w:sz w:val="18"/>
                      <w:szCs w:val="18"/>
                      <w:lang w:val="en-US" w:eastAsia="zh-CN"/>
                    </w:rPr>
                  </w:pPr>
                  <w:r>
                    <w:rPr>
                      <w:rFonts w:hint="default" w:ascii="Times New Roman" w:hAnsi="Times New Roman" w:eastAsia="宋体" w:cs="Times New Roman"/>
                      <w:color w:val="auto"/>
                      <w:sz w:val="18"/>
                      <w:szCs w:val="18"/>
                      <w:highlight w:val="none"/>
                    </w:rPr>
                    <w:t>废气处理</w:t>
                  </w:r>
                </w:p>
              </w:tc>
              <w:tc>
                <w:tcPr>
                  <w:tcW w:w="273"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eastAsia="宋体" w:cs="Times New Roman"/>
                      <w:color w:val="auto"/>
                      <w:sz w:val="18"/>
                      <w:szCs w:val="18"/>
                      <w:highlight w:val="none"/>
                    </w:rPr>
                    <w:t>固</w:t>
                  </w:r>
                </w:p>
              </w:tc>
              <w:tc>
                <w:tcPr>
                  <w:tcW w:w="750" w:type="pct"/>
                  <w:tcBorders>
                    <w:tl2br w:val="nil"/>
                    <w:tr2bl w:val="nil"/>
                  </w:tcBorders>
                  <w:vAlign w:val="center"/>
                </w:tcPr>
                <w:p>
                  <w:pPr>
                    <w:adjustRightInd w:val="0"/>
                    <w:snapToGrid w:val="0"/>
                    <w:jc w:val="center"/>
                    <w:rPr>
                      <w:rFonts w:hint="default" w:ascii="Times New Roman" w:hAnsi="Times New Roman" w:cs="Times New Roman"/>
                      <w:sz w:val="18"/>
                      <w:szCs w:val="18"/>
                      <w:lang w:eastAsia="zh-CN"/>
                    </w:rPr>
                  </w:pPr>
                  <w:r>
                    <w:rPr>
                      <w:rFonts w:hint="default" w:ascii="Times New Roman" w:hAnsi="Times New Roman" w:eastAsia="宋体" w:cs="Times New Roman"/>
                      <w:color w:val="auto"/>
                      <w:sz w:val="18"/>
                      <w:szCs w:val="18"/>
                      <w:highlight w:val="none"/>
                    </w:rPr>
                    <w:t>有机</w:t>
                  </w:r>
                  <w:r>
                    <w:rPr>
                      <w:rFonts w:hint="eastAsia" w:ascii="Times New Roman" w:hAnsi="Times New Roman" w:eastAsia="宋体" w:cs="Times New Roman"/>
                      <w:color w:val="auto"/>
                      <w:sz w:val="18"/>
                      <w:szCs w:val="18"/>
                      <w:highlight w:val="none"/>
                      <w:lang w:val="en-US" w:eastAsia="zh-CN"/>
                    </w:rPr>
                    <w:t>物</w:t>
                  </w:r>
                  <w:r>
                    <w:rPr>
                      <w:rFonts w:hint="default" w:ascii="Times New Roman" w:hAnsi="Times New Roman" w:eastAsia="宋体" w:cs="Times New Roman"/>
                      <w:color w:val="auto"/>
                      <w:sz w:val="18"/>
                      <w:szCs w:val="18"/>
                      <w:highlight w:val="none"/>
                      <w:lang w:val="en-US" w:eastAsia="zh-CN"/>
                    </w:rPr>
                    <w:t>、活性炭</w:t>
                  </w:r>
                </w:p>
              </w:tc>
              <w:tc>
                <w:tcPr>
                  <w:tcW w:w="480" w:type="pct"/>
                  <w:tcBorders>
                    <w:tl2br w:val="nil"/>
                    <w:tr2bl w:val="nil"/>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568" w:type="pct"/>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eastAsia="宋体" w:cs="Times New Roman"/>
                      <w:bCs/>
                      <w:color w:val="auto"/>
                      <w:spacing w:val="-8"/>
                      <w:sz w:val="18"/>
                      <w:szCs w:val="18"/>
                      <w:highlight w:val="none"/>
                    </w:rPr>
                    <w:t>HW49</w:t>
                  </w:r>
                </w:p>
              </w:tc>
              <w:tc>
                <w:tcPr>
                  <w:tcW w:w="527" w:type="pct"/>
                  <w:tcBorders>
                    <w:tl2br w:val="nil"/>
                    <w:tr2bl w:val="nil"/>
                  </w:tcBorders>
                  <w:vAlign w:val="center"/>
                </w:tcPr>
                <w:p>
                  <w:pPr>
                    <w:jc w:val="center"/>
                    <w:rPr>
                      <w:rFonts w:hint="default" w:ascii="Times New Roman" w:hAnsi="Times New Roman" w:cs="Times New Roman"/>
                      <w:sz w:val="18"/>
                      <w:szCs w:val="18"/>
                      <w:shd w:val="clear" w:color="auto" w:fill="FFFFFF"/>
                    </w:rPr>
                  </w:pPr>
                  <w:r>
                    <w:rPr>
                      <w:rFonts w:hint="default" w:ascii="Times New Roman" w:hAnsi="Times New Roman" w:eastAsia="宋体" w:cs="Times New Roman"/>
                      <w:bCs/>
                      <w:color w:val="auto"/>
                      <w:spacing w:val="-8"/>
                      <w:sz w:val="18"/>
                      <w:szCs w:val="18"/>
                      <w:highlight w:val="none"/>
                    </w:rPr>
                    <w:t>900-0</w:t>
                  </w:r>
                  <w:r>
                    <w:rPr>
                      <w:rFonts w:hint="default" w:ascii="Times New Roman" w:hAnsi="Times New Roman" w:eastAsia="宋体" w:cs="Times New Roman"/>
                      <w:bCs/>
                      <w:color w:val="auto"/>
                      <w:spacing w:val="-8"/>
                      <w:sz w:val="18"/>
                      <w:szCs w:val="18"/>
                      <w:highlight w:val="none"/>
                      <w:lang w:val="en-US" w:eastAsia="zh-CN"/>
                    </w:rPr>
                    <w:t>39</w:t>
                  </w:r>
                  <w:r>
                    <w:rPr>
                      <w:rFonts w:hint="default" w:ascii="Times New Roman" w:hAnsi="Times New Roman" w:eastAsia="宋体" w:cs="Times New Roman"/>
                      <w:bCs/>
                      <w:color w:val="auto"/>
                      <w:spacing w:val="-8"/>
                      <w:sz w:val="18"/>
                      <w:szCs w:val="18"/>
                      <w:highlight w:val="none"/>
                    </w:rPr>
                    <w:t>-49</w:t>
                  </w:r>
                </w:p>
              </w:tc>
              <w:tc>
                <w:tcPr>
                  <w:tcW w:w="540" w:type="pct"/>
                  <w:tcBorders>
                    <w:tl2br w:val="nil"/>
                    <w:tr2bl w:val="nil"/>
                  </w:tcBorders>
                  <w:vAlign w:val="center"/>
                </w:tcPr>
                <w:p>
                  <w:pPr>
                    <w:adjustRightInd w:val="0"/>
                    <w:snapToGrid w:val="0"/>
                    <w:jc w:val="center"/>
                    <w:rPr>
                      <w:rFonts w:hint="default" w:ascii="Times New Roman" w:hAnsi="Times New Roman" w:cs="Times New Roman"/>
                      <w:sz w:val="18"/>
                      <w:szCs w:val="18"/>
                      <w:lang w:val="en-US" w:eastAsia="zh-CN"/>
                    </w:rPr>
                  </w:pPr>
                  <w:r>
                    <w:rPr>
                      <w:rFonts w:hint="eastAsia" w:cs="Times New Roman"/>
                      <w:sz w:val="18"/>
                      <w:szCs w:val="18"/>
                      <w:highlight w:val="none"/>
                      <w:lang w:val="en-US" w:eastAsia="zh-CN"/>
                    </w:rPr>
                    <w:t>11.88</w:t>
                  </w:r>
                </w:p>
              </w:tc>
            </w:tr>
          </w:tbl>
          <w:p>
            <w:pPr>
              <w:pStyle w:val="29"/>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szCs w:val="24"/>
                <w:highlight w:val="none"/>
                <w:lang w:eastAsia="zh-CN"/>
              </w:rPr>
            </w:pPr>
            <w:r>
              <w:rPr>
                <w:rFonts w:hint="default" w:ascii="Times New Roman" w:hAnsi="Times New Roman" w:cs="Times New Roman"/>
                <w:b/>
                <w:sz w:val="21"/>
                <w:szCs w:val="21"/>
                <w:highlight w:val="none"/>
              </w:rPr>
              <w:t>5、</w:t>
            </w:r>
            <w:r>
              <w:rPr>
                <w:rFonts w:hint="eastAsia"/>
                <w:b/>
                <w:bCs/>
                <w:color w:val="auto"/>
                <w:sz w:val="21"/>
                <w:szCs w:val="21"/>
                <w:highlight w:val="none"/>
                <w:lang w:val="en-US" w:eastAsia="zh-CN"/>
              </w:rPr>
              <w:t>现有项目排污总量情况</w:t>
            </w:r>
          </w:p>
          <w:p>
            <w:pPr>
              <w:keepNext w:val="0"/>
              <w:keepLines w:val="0"/>
              <w:pageBreakBefore w:val="0"/>
              <w:widowControl w:val="0"/>
              <w:kinsoku/>
              <w:wordWrap/>
              <w:overflowPunct/>
              <w:topLinePunct w:val="0"/>
              <w:autoSpaceDE/>
              <w:autoSpaceDN/>
              <w:bidi w:val="0"/>
              <w:adjustRightInd w:val="0"/>
              <w:snapToGrid w:val="0"/>
              <w:spacing w:before="120" w:beforeLines="50" w:line="240" w:lineRule="auto"/>
              <w:jc w:val="center"/>
              <w:textAlignment w:val="auto"/>
              <w:rPr>
                <w:rFonts w:eastAsia="宋体"/>
                <w:b/>
                <w:bCs/>
                <w:color w:val="auto"/>
                <w:sz w:val="21"/>
                <w:szCs w:val="21"/>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11</w:t>
            </w:r>
            <w:r>
              <w:rPr>
                <w:rFonts w:hint="default" w:ascii="Times New Roman" w:hAnsi="Times New Roman" w:cs="Times New Roman"/>
                <w:b/>
                <w:color w:val="auto"/>
                <w:sz w:val="21"/>
                <w:szCs w:val="21"/>
                <w:lang w:val="en-US" w:eastAsia="zh-CN"/>
              </w:rPr>
              <w:t xml:space="preserve"> </w:t>
            </w:r>
            <w:r>
              <w:rPr>
                <w:rFonts w:hint="eastAsia" w:ascii="宋体" w:hAnsi="宋体" w:eastAsia="宋体" w:cs="宋体"/>
                <w:b/>
                <w:bCs/>
                <w:color w:val="auto"/>
                <w:sz w:val="21"/>
                <w:szCs w:val="21"/>
                <w:lang w:bidi="ar"/>
              </w:rPr>
              <w:t>污染物排放总量表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895"/>
              <w:gridCol w:w="1885"/>
              <w:gridCol w:w="2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tcBorders>
                    <w:tl2br w:val="nil"/>
                    <w:tr2bl w:val="nil"/>
                  </w:tcBorders>
                  <w:noWrap w:val="0"/>
                  <w:vAlign w:val="center"/>
                </w:tcPr>
                <w:p>
                  <w:pPr>
                    <w:spacing w:line="240" w:lineRule="auto"/>
                    <w:jc w:val="center"/>
                    <w:rPr>
                      <w:rFonts w:eastAsia="宋体"/>
                      <w:b/>
                      <w:bCs/>
                      <w:color w:val="auto"/>
                      <w:sz w:val="18"/>
                      <w:szCs w:val="18"/>
                    </w:rPr>
                  </w:pPr>
                  <w:r>
                    <w:rPr>
                      <w:rFonts w:eastAsia="宋体"/>
                      <w:b/>
                      <w:bCs/>
                      <w:color w:val="auto"/>
                      <w:sz w:val="18"/>
                      <w:szCs w:val="18"/>
                      <w:lang w:bidi="ar"/>
                    </w:rPr>
                    <w:t>类别</w:t>
                  </w:r>
                </w:p>
              </w:tc>
              <w:tc>
                <w:tcPr>
                  <w:tcW w:w="2276" w:type="pct"/>
                  <w:gridSpan w:val="2"/>
                  <w:tcBorders>
                    <w:tl2br w:val="nil"/>
                    <w:tr2bl w:val="nil"/>
                  </w:tcBorders>
                  <w:noWrap w:val="0"/>
                  <w:vAlign w:val="center"/>
                </w:tcPr>
                <w:p>
                  <w:pPr>
                    <w:spacing w:line="240" w:lineRule="auto"/>
                    <w:ind w:firstLine="7" w:firstLineChars="4"/>
                    <w:jc w:val="center"/>
                    <w:rPr>
                      <w:rFonts w:eastAsia="宋体"/>
                      <w:b/>
                      <w:bCs/>
                      <w:color w:val="auto"/>
                      <w:sz w:val="18"/>
                      <w:szCs w:val="18"/>
                    </w:rPr>
                  </w:pPr>
                  <w:r>
                    <w:rPr>
                      <w:rFonts w:eastAsia="宋体"/>
                      <w:b/>
                      <w:bCs/>
                      <w:color w:val="auto"/>
                      <w:sz w:val="18"/>
                      <w:szCs w:val="18"/>
                      <w:lang w:bidi="ar"/>
                    </w:rPr>
                    <w:t>项目</w:t>
                  </w:r>
                </w:p>
              </w:tc>
              <w:tc>
                <w:tcPr>
                  <w:tcW w:w="1756" w:type="pct"/>
                  <w:tcBorders>
                    <w:tl2br w:val="nil"/>
                    <w:tr2bl w:val="nil"/>
                  </w:tcBorders>
                  <w:noWrap w:val="0"/>
                  <w:vAlign w:val="center"/>
                </w:tcPr>
                <w:p>
                  <w:pPr>
                    <w:spacing w:line="240" w:lineRule="auto"/>
                    <w:ind w:firstLine="90" w:firstLineChars="50"/>
                    <w:jc w:val="center"/>
                    <w:rPr>
                      <w:rFonts w:eastAsia="宋体"/>
                      <w:b/>
                      <w:bCs/>
                      <w:color w:val="auto"/>
                      <w:sz w:val="18"/>
                      <w:szCs w:val="18"/>
                    </w:rPr>
                  </w:pPr>
                  <w:r>
                    <w:rPr>
                      <w:rFonts w:eastAsia="宋体"/>
                      <w:b/>
                      <w:bCs/>
                      <w:color w:val="auto"/>
                      <w:sz w:val="18"/>
                      <w:szCs w:val="18"/>
                      <w:lang w:bidi="ar"/>
                    </w:rPr>
                    <w:t>实际排放总量</w:t>
                  </w:r>
                </w:p>
                <w:p>
                  <w:pPr>
                    <w:spacing w:line="240" w:lineRule="auto"/>
                    <w:ind w:firstLine="90" w:firstLineChars="50"/>
                    <w:jc w:val="center"/>
                    <w:rPr>
                      <w:rFonts w:eastAsia="宋体"/>
                      <w:b/>
                      <w:bCs/>
                      <w:color w:val="auto"/>
                      <w:sz w:val="18"/>
                      <w:szCs w:val="18"/>
                    </w:rPr>
                  </w:pPr>
                  <w:r>
                    <w:rPr>
                      <w:rFonts w:eastAsia="宋体"/>
                      <w:b/>
                      <w:bCs/>
                      <w:color w:val="auto"/>
                      <w:sz w:val="18"/>
                      <w:szCs w:val="18"/>
                      <w:lang w:bidi="ar"/>
                    </w:rPr>
                    <w:t xml:space="preserve"> （吨/</w:t>
                  </w:r>
                  <w:r>
                    <w:rPr>
                      <w:rFonts w:hint="eastAsia" w:ascii="宋体" w:hAnsi="宋体" w:eastAsia="宋体" w:cs="宋体"/>
                      <w:b/>
                      <w:bCs/>
                      <w:color w:val="auto"/>
                      <w:sz w:val="18"/>
                      <w:szCs w:val="18"/>
                      <w:lang w:bidi="ar"/>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tcBorders>
                    <w:tl2br w:val="nil"/>
                    <w:tr2bl w:val="nil"/>
                  </w:tcBorders>
                  <w:noWrap w:val="0"/>
                  <w:vAlign w:val="center"/>
                </w:tcPr>
                <w:p>
                  <w:pPr>
                    <w:spacing w:line="240" w:lineRule="auto"/>
                    <w:jc w:val="center"/>
                    <w:rPr>
                      <w:rFonts w:hint="eastAsia" w:eastAsia="宋体"/>
                      <w:color w:val="auto"/>
                      <w:sz w:val="18"/>
                      <w:szCs w:val="18"/>
                    </w:rPr>
                  </w:pPr>
                  <w:r>
                    <w:rPr>
                      <w:rFonts w:hint="eastAsia" w:eastAsia="宋体"/>
                      <w:color w:val="auto"/>
                      <w:sz w:val="18"/>
                      <w:szCs w:val="18"/>
                      <w:lang w:bidi="ar"/>
                    </w:rPr>
                    <w:t>废气</w:t>
                  </w:r>
                </w:p>
              </w:tc>
              <w:tc>
                <w:tcPr>
                  <w:tcW w:w="1141" w:type="pct"/>
                  <w:vMerge w:val="restart"/>
                  <w:tcBorders>
                    <w:right w:val="single" w:color="000000" w:sz="4" w:space="0"/>
                    <w:tl2br w:val="nil"/>
                    <w:tr2bl w:val="nil"/>
                  </w:tcBorders>
                  <w:noWrap w:val="0"/>
                  <w:vAlign w:val="center"/>
                </w:tcPr>
                <w:p>
                  <w:pPr>
                    <w:spacing w:line="240" w:lineRule="auto"/>
                    <w:jc w:val="center"/>
                    <w:rPr>
                      <w:rFonts w:hint="eastAsia" w:eastAsia="宋体"/>
                      <w:color w:val="auto"/>
                      <w:sz w:val="18"/>
                      <w:szCs w:val="18"/>
                    </w:rPr>
                  </w:pPr>
                  <w:r>
                    <w:rPr>
                      <w:rFonts w:hint="eastAsia" w:eastAsia="宋体"/>
                      <w:color w:val="auto"/>
                      <w:sz w:val="18"/>
                      <w:szCs w:val="18"/>
                      <w:lang w:bidi="ar"/>
                    </w:rPr>
                    <w:t>非甲烷总烃</w:t>
                  </w:r>
                </w:p>
              </w:tc>
              <w:tc>
                <w:tcPr>
                  <w:tcW w:w="1135" w:type="pct"/>
                  <w:tcBorders>
                    <w:left w:val="single" w:color="000000" w:sz="4" w:space="0"/>
                    <w:bottom w:val="single" w:color="000000" w:sz="4" w:space="0"/>
                    <w:tl2br w:val="nil"/>
                    <w:tr2bl w:val="nil"/>
                  </w:tcBorders>
                  <w:noWrap w:val="0"/>
                  <w:vAlign w:val="center"/>
                </w:tcPr>
                <w:p>
                  <w:pPr>
                    <w:spacing w:line="240" w:lineRule="auto"/>
                    <w:jc w:val="center"/>
                    <w:rPr>
                      <w:rFonts w:hint="eastAsia" w:eastAsia="宋体"/>
                      <w:color w:val="auto"/>
                      <w:sz w:val="18"/>
                      <w:szCs w:val="18"/>
                      <w:lang w:val="en-US" w:eastAsia="zh-CN" w:bidi="ar"/>
                    </w:rPr>
                  </w:pPr>
                  <w:r>
                    <w:rPr>
                      <w:rFonts w:hint="eastAsia"/>
                      <w:color w:val="auto"/>
                      <w:sz w:val="18"/>
                      <w:szCs w:val="18"/>
                      <w:lang w:val="en-US" w:eastAsia="zh-CN" w:bidi="ar"/>
                    </w:rPr>
                    <w:t>有组织</w:t>
                  </w:r>
                </w:p>
              </w:tc>
              <w:tc>
                <w:tcPr>
                  <w:tcW w:w="1756" w:type="pct"/>
                  <w:tcBorders>
                    <w:bottom w:val="single" w:color="000000" w:sz="4" w:space="0"/>
                    <w:tl2br w:val="nil"/>
                    <w:tr2bl w:val="nil"/>
                  </w:tcBorders>
                  <w:noWrap w:val="0"/>
                  <w:vAlign w:val="center"/>
                </w:tcPr>
                <w:p>
                  <w:pPr>
                    <w:widowControl/>
                    <w:spacing w:line="240" w:lineRule="auto"/>
                    <w:jc w:val="center"/>
                    <w:textAlignment w:val="center"/>
                    <w:rPr>
                      <w:rFonts w:hint="default" w:eastAsia="宋体"/>
                      <w:color w:val="auto"/>
                      <w:sz w:val="18"/>
                      <w:szCs w:val="18"/>
                      <w:lang w:val="en-US" w:eastAsia="zh-CN"/>
                    </w:rPr>
                  </w:pPr>
                  <w:r>
                    <w:rPr>
                      <w:rFonts w:hint="eastAsia" w:cs="Times New Roman"/>
                      <w:color w:val="auto"/>
                      <w:sz w:val="18"/>
                      <w:szCs w:val="18"/>
                      <w:highlight w:val="none"/>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tcBorders>
                    <w:tl2br w:val="nil"/>
                    <w:tr2bl w:val="nil"/>
                  </w:tcBorders>
                  <w:noWrap w:val="0"/>
                  <w:vAlign w:val="center"/>
                </w:tcPr>
                <w:p>
                  <w:pPr>
                    <w:spacing w:line="240" w:lineRule="auto"/>
                    <w:jc w:val="center"/>
                    <w:rPr>
                      <w:rFonts w:hint="eastAsia" w:eastAsia="宋体"/>
                      <w:color w:val="auto"/>
                      <w:sz w:val="18"/>
                      <w:szCs w:val="18"/>
                      <w:lang w:bidi="ar"/>
                    </w:rPr>
                  </w:pPr>
                </w:p>
              </w:tc>
              <w:tc>
                <w:tcPr>
                  <w:tcW w:w="1141" w:type="pct"/>
                  <w:vMerge w:val="continue"/>
                  <w:tcBorders>
                    <w:right w:val="single" w:color="000000" w:sz="4" w:space="0"/>
                    <w:tl2br w:val="nil"/>
                    <w:tr2bl w:val="nil"/>
                  </w:tcBorders>
                  <w:noWrap w:val="0"/>
                  <w:vAlign w:val="center"/>
                </w:tcPr>
                <w:p>
                  <w:pPr>
                    <w:spacing w:line="240" w:lineRule="auto"/>
                    <w:jc w:val="center"/>
                    <w:rPr>
                      <w:rFonts w:hint="eastAsia" w:eastAsia="宋体"/>
                      <w:color w:val="auto"/>
                      <w:sz w:val="18"/>
                      <w:szCs w:val="18"/>
                      <w:lang w:bidi="ar"/>
                    </w:rPr>
                  </w:pPr>
                </w:p>
              </w:tc>
              <w:tc>
                <w:tcPr>
                  <w:tcW w:w="1135" w:type="pct"/>
                  <w:tcBorders>
                    <w:top w:val="single" w:color="000000" w:sz="4" w:space="0"/>
                    <w:left w:val="single" w:color="000000" w:sz="4" w:space="0"/>
                    <w:tl2br w:val="nil"/>
                    <w:tr2bl w:val="nil"/>
                  </w:tcBorders>
                  <w:noWrap w:val="0"/>
                  <w:vAlign w:val="center"/>
                </w:tcPr>
                <w:p>
                  <w:pPr>
                    <w:spacing w:line="240" w:lineRule="auto"/>
                    <w:jc w:val="center"/>
                    <w:rPr>
                      <w:rFonts w:hint="default" w:eastAsia="宋体"/>
                      <w:color w:val="auto"/>
                      <w:sz w:val="18"/>
                      <w:szCs w:val="18"/>
                      <w:lang w:val="en-US" w:eastAsia="zh-CN" w:bidi="ar"/>
                    </w:rPr>
                  </w:pPr>
                  <w:r>
                    <w:rPr>
                      <w:rFonts w:hint="eastAsia"/>
                      <w:color w:val="auto"/>
                      <w:sz w:val="18"/>
                      <w:szCs w:val="18"/>
                      <w:lang w:val="en-US" w:eastAsia="zh-CN" w:bidi="ar"/>
                    </w:rPr>
                    <w:t>无组织</w:t>
                  </w:r>
                </w:p>
              </w:tc>
              <w:tc>
                <w:tcPr>
                  <w:tcW w:w="1756" w:type="pct"/>
                  <w:tcBorders>
                    <w:top w:val="single" w:color="000000" w:sz="4" w:space="0"/>
                    <w:tl2br w:val="nil"/>
                    <w:tr2bl w:val="nil"/>
                  </w:tcBorders>
                  <w:noWrap w:val="0"/>
                  <w:vAlign w:val="center"/>
                </w:tcPr>
                <w:p>
                  <w:pPr>
                    <w:widowControl/>
                    <w:spacing w:line="240" w:lineRule="auto"/>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restart"/>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生活污水</w:t>
                  </w:r>
                </w:p>
              </w:tc>
              <w:tc>
                <w:tcPr>
                  <w:tcW w:w="2276"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val="en-US" w:eastAsia="zh-CN" w:bidi="ar"/>
                    </w:rPr>
                  </w:pPr>
                  <w:r>
                    <w:rPr>
                      <w:rFonts w:hint="default" w:ascii="Times New Roman" w:hAnsi="Times New Roman" w:eastAsia="宋体" w:cs="Times New Roman"/>
                      <w:color w:val="auto"/>
                      <w:sz w:val="18"/>
                      <w:szCs w:val="18"/>
                      <w:lang w:val="en-US" w:eastAsia="zh-CN" w:bidi="ar"/>
                    </w:rPr>
                    <w:t>水量</w:t>
                  </w:r>
                </w:p>
              </w:tc>
              <w:tc>
                <w:tcPr>
                  <w:tcW w:w="175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2112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bidi="ar"/>
                    </w:rPr>
                  </w:pPr>
                </w:p>
              </w:tc>
              <w:tc>
                <w:tcPr>
                  <w:tcW w:w="2276"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val="en-US" w:eastAsia="zh-CN" w:bidi="ar"/>
                    </w:rPr>
                  </w:pPr>
                  <w:r>
                    <w:rPr>
                      <w:rFonts w:hint="default" w:ascii="Times New Roman" w:hAnsi="Times New Roman" w:eastAsia="宋体" w:cs="Times New Roman"/>
                      <w:color w:val="auto"/>
                      <w:sz w:val="18"/>
                      <w:szCs w:val="18"/>
                      <w:lang w:val="en-US" w:eastAsia="zh-CN" w:bidi="ar"/>
                    </w:rPr>
                    <w:t>COD</w:t>
                  </w:r>
                </w:p>
              </w:tc>
              <w:tc>
                <w:tcPr>
                  <w:tcW w:w="175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0.1954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bidi="ar"/>
                    </w:rPr>
                  </w:pPr>
                </w:p>
              </w:tc>
              <w:tc>
                <w:tcPr>
                  <w:tcW w:w="2276"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val="en-US" w:eastAsia="zh-CN" w:bidi="ar"/>
                    </w:rPr>
                  </w:pPr>
                  <w:r>
                    <w:rPr>
                      <w:rFonts w:hint="default" w:ascii="Times New Roman" w:hAnsi="Times New Roman" w:eastAsia="宋体" w:cs="Times New Roman"/>
                      <w:color w:val="auto"/>
                      <w:sz w:val="18"/>
                      <w:szCs w:val="18"/>
                      <w:lang w:val="en-US" w:eastAsia="zh-CN" w:bidi="ar"/>
                    </w:rPr>
                    <w:t>SS</w:t>
                  </w:r>
                </w:p>
              </w:tc>
              <w:tc>
                <w:tcPr>
                  <w:tcW w:w="175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0.0285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bidi="ar"/>
                    </w:rPr>
                  </w:pPr>
                </w:p>
              </w:tc>
              <w:tc>
                <w:tcPr>
                  <w:tcW w:w="2276"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val="en-US" w:eastAsia="zh-CN" w:bidi="ar"/>
                    </w:rPr>
                  </w:pPr>
                  <w:r>
                    <w:rPr>
                      <w:rFonts w:hint="default" w:ascii="Times New Roman" w:hAnsi="Times New Roman" w:eastAsia="宋体" w:cs="Times New Roman"/>
                      <w:color w:val="auto"/>
                      <w:sz w:val="18"/>
                      <w:szCs w:val="18"/>
                      <w:lang w:val="en-US" w:eastAsia="zh-CN" w:bidi="ar"/>
                    </w:rPr>
                    <w:t>NH</w:t>
                  </w:r>
                  <w:r>
                    <w:rPr>
                      <w:rFonts w:hint="default" w:ascii="Times New Roman" w:hAnsi="Times New Roman" w:eastAsia="宋体" w:cs="Times New Roman"/>
                      <w:color w:val="auto"/>
                      <w:sz w:val="18"/>
                      <w:szCs w:val="18"/>
                      <w:vertAlign w:val="subscript"/>
                      <w:lang w:val="en-US" w:eastAsia="zh-CN" w:bidi="ar"/>
                    </w:rPr>
                    <w:t>3</w:t>
                  </w:r>
                  <w:r>
                    <w:rPr>
                      <w:rFonts w:hint="default" w:ascii="Times New Roman" w:hAnsi="Times New Roman" w:eastAsia="宋体" w:cs="Times New Roman"/>
                      <w:color w:val="auto"/>
                      <w:sz w:val="18"/>
                      <w:szCs w:val="18"/>
                      <w:lang w:val="en-US" w:eastAsia="zh-CN" w:bidi="ar"/>
                    </w:rPr>
                    <w:t>-N</w:t>
                  </w:r>
                </w:p>
              </w:tc>
              <w:tc>
                <w:tcPr>
                  <w:tcW w:w="1756"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0.0041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7" w:type="pct"/>
                  <w:vMerge w:val="continue"/>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bidi="ar"/>
                    </w:rPr>
                  </w:pPr>
                </w:p>
              </w:tc>
              <w:tc>
                <w:tcPr>
                  <w:tcW w:w="2276" w:type="pct"/>
                  <w:gridSpan w:val="2"/>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val="en-US" w:eastAsia="zh-CN" w:bidi="ar"/>
                    </w:rPr>
                  </w:pPr>
                  <w:r>
                    <w:rPr>
                      <w:rFonts w:hint="default" w:ascii="Times New Roman" w:hAnsi="Times New Roman" w:eastAsia="宋体" w:cs="Times New Roman"/>
                      <w:color w:val="auto"/>
                      <w:sz w:val="18"/>
                      <w:szCs w:val="18"/>
                      <w:lang w:val="en-US" w:eastAsia="zh-CN" w:bidi="ar"/>
                    </w:rPr>
                    <w:t>TP</w:t>
                  </w:r>
                </w:p>
              </w:tc>
              <w:tc>
                <w:tcPr>
                  <w:tcW w:w="1756" w:type="pct"/>
                  <w:tcBorders>
                    <w:tl2br w:val="nil"/>
                    <w:tr2bl w:val="nil"/>
                  </w:tcBorders>
                  <w:noWrap w:val="0"/>
                  <w:vAlign w:val="center"/>
                </w:tcPr>
                <w:p>
                  <w:pPr>
                    <w:spacing w:line="240" w:lineRule="auto"/>
                    <w:jc w:val="center"/>
                    <w:rPr>
                      <w:rFonts w:hint="eastAsia"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0.0027</w:t>
                  </w:r>
                </w:p>
              </w:tc>
            </w:tr>
          </w:tbl>
          <w:p>
            <w:pPr>
              <w:tabs>
                <w:tab w:val="left" w:pos="993"/>
                <w:tab w:val="left" w:pos="1276"/>
              </w:tabs>
              <w:adjustRightInd w:val="0"/>
              <w:snapToGrid w:val="0"/>
              <w:spacing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6、现有项目存在的主要环境问题及</w:t>
            </w:r>
            <w:r>
              <w:rPr>
                <w:rFonts w:hint="eastAsia" w:ascii="Times New Roman" w:hAnsi="Times New Roman" w:cs="Times New Roman"/>
                <w:b/>
                <w:sz w:val="21"/>
                <w:szCs w:val="21"/>
                <w:highlight w:val="none"/>
                <w:lang w:eastAsia="zh-CN"/>
              </w:rPr>
              <w:t>“</w:t>
            </w:r>
            <w:r>
              <w:rPr>
                <w:rFonts w:hint="default" w:ascii="Times New Roman" w:hAnsi="Times New Roman" w:cs="Times New Roman"/>
                <w:b/>
                <w:sz w:val="21"/>
                <w:szCs w:val="21"/>
                <w:highlight w:val="none"/>
              </w:rPr>
              <w:t>以新带老</w:t>
            </w:r>
            <w:r>
              <w:rPr>
                <w:rFonts w:hint="eastAsia" w:ascii="Times New Roman" w:hAnsi="Times New Roman" w:cs="Times New Roman"/>
                <w:b/>
                <w:sz w:val="21"/>
                <w:szCs w:val="21"/>
                <w:highlight w:val="none"/>
                <w:lang w:eastAsia="zh-CN"/>
              </w:rPr>
              <w:t>”</w:t>
            </w:r>
            <w:r>
              <w:rPr>
                <w:rFonts w:hint="default" w:ascii="Times New Roman" w:hAnsi="Times New Roman" w:cs="Times New Roman"/>
                <w:b/>
                <w:sz w:val="21"/>
                <w:szCs w:val="21"/>
                <w:highlight w:val="none"/>
              </w:rPr>
              <w:t>措施</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ascii="宋体" w:hAnsi="宋体"/>
                <w:bCs/>
                <w:szCs w:val="21"/>
                <w:lang w:val="en-US"/>
              </w:rPr>
            </w:pPr>
            <w:r>
              <w:rPr>
                <w:rFonts w:hint="default" w:ascii="Times New Roman" w:hAnsi="Times New Roman" w:eastAsia="宋体" w:cs="Times New Roman"/>
                <w:kern w:val="0"/>
                <w:sz w:val="21"/>
                <w:szCs w:val="21"/>
                <w:highlight w:val="none"/>
                <w:lang w:val="en-US" w:eastAsia="zh-CN"/>
              </w:rPr>
              <w:t>企业</w:t>
            </w:r>
            <w:r>
              <w:rPr>
                <w:rFonts w:hint="eastAsia" w:cs="Times New Roman"/>
                <w:kern w:val="0"/>
                <w:sz w:val="21"/>
                <w:szCs w:val="21"/>
                <w:highlight w:val="none"/>
                <w:lang w:val="en-US" w:eastAsia="zh-CN"/>
              </w:rPr>
              <w:t>属于《江苏省挥发性有机物清洁原料替代工作方案》的通知（苏大气办〔2021〕2号）中各设区市VOCs源头替代企业清单中提及的企业，但企业已于2007年取消喷漆项目，现有项目只包括注塑项目和组装项目。</w:t>
            </w:r>
            <w:r>
              <w:rPr>
                <w:rFonts w:hint="default" w:ascii="Times New Roman" w:hAnsi="Times New Roman" w:eastAsia="宋体" w:cs="Times New Roman"/>
                <w:kern w:val="0"/>
                <w:sz w:val="21"/>
                <w:szCs w:val="21"/>
                <w:highlight w:val="none"/>
                <w:lang w:val="en-US" w:eastAsia="zh-CN"/>
              </w:rPr>
              <w:t>现有项目环境管理较好，环保设施管理良好、运行稳定，无组织废气排放得到有效控制，污染物排放量较小，设置</w:t>
            </w:r>
            <w:r>
              <w:rPr>
                <w:rFonts w:hint="eastAsia" w:ascii="Times New Roman" w:hAnsi="Times New Roman" w:eastAsia="宋体" w:cs="Times New Roman"/>
                <w:kern w:val="0"/>
                <w:sz w:val="21"/>
                <w:szCs w:val="21"/>
                <w:highlight w:val="none"/>
                <w:lang w:val="en-US" w:eastAsia="zh-CN"/>
              </w:rPr>
              <w:t>了100m</w:t>
            </w:r>
            <w:r>
              <w:rPr>
                <w:rFonts w:hint="default" w:ascii="Times New Roman" w:hAnsi="Times New Roman" w:eastAsia="宋体" w:cs="Times New Roman"/>
                <w:kern w:val="0"/>
                <w:sz w:val="21"/>
                <w:szCs w:val="21"/>
                <w:highlight w:val="none"/>
                <w:lang w:val="en-US" w:eastAsia="zh-CN"/>
              </w:rPr>
              <w:t>卫生防护距离；厂界无明显异味，与周围居民及企业无环保纠纷，近年内均未接到投诉。</w:t>
            </w:r>
          </w:p>
        </w:tc>
      </w:tr>
    </w:tbl>
    <w:p>
      <w:pPr>
        <w:pStyle w:val="14"/>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trPr>
        <w:tc>
          <w:tcPr>
            <w:tcW w:w="556"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434" w:type="dxa"/>
            <w:noWrap w:val="0"/>
            <w:vAlign w:val="center"/>
          </w:tcPr>
          <w:p>
            <w:pPr>
              <w:adjustRightInd w:val="0"/>
              <w:snapToGrid w:val="0"/>
              <w:spacing w:line="360" w:lineRule="auto"/>
              <w:ind w:firstLine="48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1、大气环境</w:t>
            </w:r>
          </w:p>
          <w:p>
            <w:pPr>
              <w:adjustRightInd w:val="0"/>
              <w:snapToGrid w:val="0"/>
              <w:spacing w:line="360" w:lineRule="auto"/>
              <w:ind w:firstLine="420" w:firstLineChars="200"/>
              <w:jc w:val="left"/>
              <w:rPr>
                <w:rFonts w:hint="default" w:ascii="Times New Roman" w:hAnsi="Times New Roman" w:cs="Times New Roman"/>
                <w:szCs w:val="21"/>
              </w:rPr>
            </w:pPr>
            <w:r>
              <w:rPr>
                <w:rFonts w:hint="default" w:ascii="Times New Roman" w:hAnsi="Times New Roman" w:cs="Times New Roman"/>
                <w:szCs w:val="21"/>
              </w:rPr>
              <w:t>本项目所在区域环境质量达标情况，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基本污染物数据来源于《20</w:t>
            </w:r>
            <w:r>
              <w:rPr>
                <w:rFonts w:hint="default" w:ascii="Times New Roman" w:hAnsi="Times New Roman" w:cs="Times New Roman"/>
                <w:szCs w:val="21"/>
                <w:lang w:val="en-US" w:eastAsia="zh-CN"/>
              </w:rPr>
              <w:t>20</w:t>
            </w:r>
            <w:r>
              <w:rPr>
                <w:rFonts w:hint="default" w:ascii="Times New Roman" w:hAnsi="Times New Roman" w:cs="Times New Roman"/>
                <w:szCs w:val="21"/>
              </w:rPr>
              <w:t>年苏州工业园区环境质量</w:t>
            </w:r>
            <w:r>
              <w:rPr>
                <w:rFonts w:hint="default" w:ascii="Times New Roman" w:hAnsi="Times New Roman" w:cs="Times New Roman"/>
                <w:szCs w:val="21"/>
                <w:lang w:val="en-US" w:eastAsia="zh-CN"/>
              </w:rPr>
              <w:t>状况</w:t>
            </w:r>
            <w:r>
              <w:rPr>
                <w:rFonts w:hint="default" w:ascii="Times New Roman" w:hAnsi="Times New Roman" w:cs="Times New Roman"/>
                <w:szCs w:val="21"/>
              </w:rPr>
              <w:t>公报》。具体结果见表3-1。</w:t>
            </w:r>
          </w:p>
          <w:p>
            <w:pPr>
              <w:pStyle w:val="47"/>
              <w:snapToGrid/>
              <w:spacing w:before="0" w:line="360" w:lineRule="auto"/>
              <w:ind w:right="0" w:firstLine="404" w:firstLineChars="200"/>
              <w:jc w:val="both"/>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2020年，园区环境空气质量整体呈现明显改善趋势。6项</w:t>
            </w:r>
            <w:r>
              <w:rPr>
                <w:rFonts w:hint="eastAsia" w:ascii="Times New Roman" w:hAnsi="Times New Roman" w:cs="Times New Roman"/>
                <w:b w:val="0"/>
                <w:bCs w:val="0"/>
                <w:sz w:val="21"/>
                <w:szCs w:val="21"/>
                <w:lang w:val="en-US" w:eastAsia="zh-CN"/>
              </w:rPr>
              <w:t>基本因子</w:t>
            </w:r>
            <w:r>
              <w:rPr>
                <w:rFonts w:hint="default" w:ascii="Times New Roman" w:hAnsi="Times New Roman" w:cs="Times New Roman"/>
                <w:b w:val="0"/>
                <w:bCs w:val="0"/>
                <w:sz w:val="21"/>
                <w:szCs w:val="21"/>
                <w:lang w:val="en-US" w:eastAsia="zh-CN"/>
              </w:rPr>
              <w:t>首次全部符合年度考核标准，主要污染物浓度创历史新低。</w:t>
            </w:r>
          </w:p>
          <w:p>
            <w:pPr>
              <w:pStyle w:val="47"/>
              <w:snapToGrid/>
              <w:spacing w:before="0" w:line="360" w:lineRule="auto"/>
              <w:ind w:right="0" w:firstLine="404" w:firstLineChars="200"/>
              <w:jc w:val="both"/>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全年环境空气质量达标天数为318天，较上年增加28天；优良天数比例为86.9%，较上年上升5.0个百分点。其中优103天，良215天，轻度污染38天，中度污染8天，重度污染2天，未出现严重污染天气。</w:t>
            </w:r>
          </w:p>
          <w:p>
            <w:pPr>
              <w:pStyle w:val="47"/>
              <w:snapToGrid/>
              <w:spacing w:before="0" w:line="240" w:lineRule="auto"/>
              <w:ind w:right="0"/>
              <w:rPr>
                <w:rFonts w:hint="default" w:ascii="Times New Roman" w:hAnsi="Times New Roman" w:cs="Times New Roman"/>
                <w:b/>
                <w:bCs/>
                <w:sz w:val="21"/>
                <w:szCs w:val="21"/>
              </w:rPr>
            </w:pPr>
            <w:r>
              <w:rPr>
                <w:rFonts w:hint="default" w:ascii="Times New Roman" w:hAnsi="Times New Roman" w:cs="Times New Roman"/>
                <w:b/>
                <w:bCs/>
                <w:sz w:val="21"/>
                <w:szCs w:val="21"/>
              </w:rPr>
              <w:t>表3-1  苏州工业园区大气环境质量现状（CO为mg/m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，其余均为</w:t>
            </w:r>
            <w:r>
              <w:rPr>
                <w:rFonts w:hint="default" w:ascii="Times New Roman" w:hAnsi="Times New Roman" w:cs="Times New Roman"/>
                <w:b/>
                <w:sz w:val="21"/>
                <w:szCs w:val="21"/>
              </w:rPr>
              <w:t>μg/m</w:t>
            </w:r>
            <w:r>
              <w:rPr>
                <w:rFonts w:hint="default" w:ascii="Times New Roman" w:hAnsi="Times New Roman" w:cs="Times New Roman"/>
                <w:b/>
                <w:sz w:val="21"/>
                <w:szCs w:val="21"/>
                <w:vertAlign w:val="superscript"/>
              </w:rPr>
              <w:t>3</w:t>
            </w:r>
            <w:r>
              <w:rPr>
                <w:rFonts w:hint="default" w:ascii="Times New Roman" w:hAnsi="Times New Roman" w:cs="Times New Roman"/>
                <w:b/>
                <w:bCs/>
                <w:sz w:val="21"/>
                <w:szCs w:val="21"/>
              </w:rPr>
              <w:t>）</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561"/>
              <w:gridCol w:w="1114"/>
              <w:gridCol w:w="876"/>
              <w:gridCol w:w="1381"/>
              <w:gridCol w:w="1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b/>
                      <w:bCs/>
                      <w:kern w:val="2"/>
                      <w:sz w:val="18"/>
                      <w:szCs w:val="18"/>
                    </w:rPr>
                  </w:pPr>
                  <w:r>
                    <w:rPr>
                      <w:rFonts w:hint="default" w:ascii="Times New Roman" w:hAnsi="Times New Roman" w:cs="Times New Roman"/>
                      <w:b/>
                      <w:bCs/>
                      <w:kern w:val="2"/>
                      <w:sz w:val="18"/>
                      <w:szCs w:val="18"/>
                    </w:rPr>
                    <w:t>污染物</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b/>
                      <w:bCs/>
                      <w:kern w:val="2"/>
                      <w:sz w:val="18"/>
                      <w:szCs w:val="18"/>
                    </w:rPr>
                  </w:pPr>
                  <w:r>
                    <w:rPr>
                      <w:rFonts w:hint="default" w:ascii="Times New Roman" w:hAnsi="Times New Roman" w:cs="Times New Roman"/>
                      <w:b/>
                      <w:bCs/>
                      <w:kern w:val="2"/>
                      <w:sz w:val="18"/>
                      <w:szCs w:val="18"/>
                    </w:rPr>
                    <w:t>年评价指标</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b/>
                      <w:bCs/>
                      <w:kern w:val="2"/>
                      <w:sz w:val="18"/>
                      <w:szCs w:val="18"/>
                    </w:rPr>
                  </w:pPr>
                  <w:r>
                    <w:rPr>
                      <w:rFonts w:hint="default" w:ascii="Times New Roman" w:hAnsi="Times New Roman" w:cs="Times New Roman"/>
                      <w:b/>
                      <w:bCs/>
                      <w:kern w:val="2"/>
                      <w:sz w:val="18"/>
                      <w:szCs w:val="18"/>
                    </w:rPr>
                    <w:t>现状浓度</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b/>
                      <w:bCs/>
                      <w:kern w:val="2"/>
                      <w:sz w:val="18"/>
                      <w:szCs w:val="18"/>
                    </w:rPr>
                  </w:pPr>
                  <w:r>
                    <w:rPr>
                      <w:rFonts w:hint="default" w:ascii="Times New Roman" w:hAnsi="Times New Roman" w:cs="Times New Roman"/>
                      <w:b/>
                      <w:bCs/>
                      <w:kern w:val="2"/>
                      <w:sz w:val="18"/>
                      <w:szCs w:val="18"/>
                    </w:rPr>
                    <w:t>标准值</w:t>
                  </w:r>
                </w:p>
              </w:tc>
              <w:tc>
                <w:tcPr>
                  <w:tcW w:w="840" w:type="pct"/>
                  <w:tcBorders>
                    <w:tl2br w:val="nil"/>
                    <w:tr2bl w:val="nil"/>
                  </w:tcBorders>
                  <w:noWrap w:val="0"/>
                  <w:vAlign w:val="center"/>
                </w:tcPr>
                <w:p>
                  <w:pPr>
                    <w:pStyle w:val="49"/>
                    <w:wordWrap/>
                    <w:adjustRightInd/>
                    <w:snapToGrid/>
                    <w:rPr>
                      <w:rFonts w:hint="default" w:ascii="Times New Roman" w:hAnsi="Times New Roman" w:cs="Times New Roman"/>
                      <w:b/>
                      <w:bCs/>
                      <w:kern w:val="2"/>
                      <w:sz w:val="18"/>
                      <w:szCs w:val="18"/>
                    </w:rPr>
                  </w:pPr>
                  <w:r>
                    <w:rPr>
                      <w:rFonts w:hint="default" w:ascii="Times New Roman" w:hAnsi="Times New Roman" w:cs="Times New Roman"/>
                      <w:b/>
                      <w:bCs/>
                      <w:kern w:val="2"/>
                      <w:sz w:val="18"/>
                      <w:szCs w:val="18"/>
                    </w:rPr>
                    <w:t>占标率（%）</w:t>
                  </w:r>
                </w:p>
              </w:tc>
              <w:tc>
                <w:tcPr>
                  <w:tcW w:w="656" w:type="pct"/>
                  <w:tcBorders>
                    <w:tl2br w:val="nil"/>
                    <w:tr2bl w:val="nil"/>
                  </w:tcBorders>
                  <w:noWrap w:val="0"/>
                  <w:vAlign w:val="center"/>
                </w:tcPr>
                <w:p>
                  <w:pPr>
                    <w:pStyle w:val="49"/>
                    <w:wordWrap/>
                    <w:adjustRightInd/>
                    <w:snapToGrid/>
                    <w:rPr>
                      <w:rFonts w:hint="default" w:ascii="Times New Roman" w:hAnsi="Times New Roman" w:cs="Times New Roman"/>
                      <w:b/>
                      <w:bCs/>
                      <w:kern w:val="2"/>
                      <w:sz w:val="18"/>
                      <w:szCs w:val="18"/>
                    </w:rPr>
                  </w:pPr>
                  <w:r>
                    <w:rPr>
                      <w:rFonts w:hint="default" w:ascii="Times New Roman" w:hAnsi="Times New Roman" w:cs="Times New Roman"/>
                      <w:b/>
                      <w:bCs/>
                      <w:kern w:val="2"/>
                      <w:sz w:val="18"/>
                      <w:szCs w:val="18"/>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PM</w:t>
                  </w:r>
                  <w:r>
                    <w:rPr>
                      <w:rFonts w:hint="default" w:ascii="Times New Roman" w:hAnsi="Times New Roman" w:cs="Times New Roman"/>
                      <w:kern w:val="2"/>
                      <w:sz w:val="18"/>
                      <w:szCs w:val="18"/>
                      <w:vertAlign w:val="subscript"/>
                    </w:rPr>
                    <w:t>2.5</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年平均质量浓度</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33</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35</w:t>
                  </w:r>
                </w:p>
              </w:tc>
              <w:tc>
                <w:tcPr>
                  <w:tcW w:w="840"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val="en-US" w:eastAsia="zh-CN"/>
                    </w:rPr>
                  </w:pPr>
                  <w:r>
                    <w:rPr>
                      <w:rFonts w:hint="default" w:ascii="Times New Roman" w:hAnsi="Times New Roman" w:cs="Times New Roman"/>
                      <w:kern w:val="2"/>
                      <w:sz w:val="18"/>
                      <w:szCs w:val="18"/>
                      <w:lang w:val="en-US" w:eastAsia="zh-CN"/>
                    </w:rPr>
                    <w:t>94.3</w:t>
                  </w:r>
                </w:p>
              </w:tc>
              <w:tc>
                <w:tcPr>
                  <w:tcW w:w="656"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eastAsia="zh-CN"/>
                    </w:rPr>
                  </w:pPr>
                  <w:r>
                    <w:rPr>
                      <w:rFonts w:hint="default" w:ascii="Times New Roman" w:hAnsi="Times New Roman" w:cs="Times New Roman"/>
                      <w:kern w:val="2"/>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SO</w:t>
                  </w:r>
                  <w:r>
                    <w:rPr>
                      <w:rFonts w:hint="default" w:ascii="Times New Roman" w:hAnsi="Times New Roman" w:cs="Times New Roman"/>
                      <w:kern w:val="2"/>
                      <w:sz w:val="18"/>
                      <w:szCs w:val="18"/>
                      <w:vertAlign w:val="subscript"/>
                    </w:rPr>
                    <w:t>2</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年平均质量浓度</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6</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60</w:t>
                  </w:r>
                </w:p>
              </w:tc>
              <w:tc>
                <w:tcPr>
                  <w:tcW w:w="840"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val="en-US" w:eastAsia="zh-CN"/>
                    </w:rPr>
                  </w:pPr>
                  <w:r>
                    <w:rPr>
                      <w:rFonts w:hint="default" w:ascii="Times New Roman" w:hAnsi="Times New Roman" w:cs="Times New Roman"/>
                      <w:kern w:val="2"/>
                      <w:sz w:val="18"/>
                      <w:szCs w:val="18"/>
                      <w:lang w:val="en-US" w:eastAsia="zh-CN"/>
                    </w:rPr>
                    <w:t>10</w:t>
                  </w:r>
                </w:p>
              </w:tc>
              <w:tc>
                <w:tcPr>
                  <w:tcW w:w="656"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NO</w:t>
                  </w:r>
                  <w:r>
                    <w:rPr>
                      <w:rFonts w:hint="default" w:ascii="Times New Roman" w:hAnsi="Times New Roman" w:cs="Times New Roman"/>
                      <w:kern w:val="2"/>
                      <w:sz w:val="18"/>
                      <w:szCs w:val="18"/>
                      <w:vertAlign w:val="subscript"/>
                    </w:rPr>
                    <w:t>2</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年平均质量浓度</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34</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40</w:t>
                  </w:r>
                </w:p>
              </w:tc>
              <w:tc>
                <w:tcPr>
                  <w:tcW w:w="840"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val="en-US" w:eastAsia="zh-CN"/>
                    </w:rPr>
                  </w:pPr>
                  <w:r>
                    <w:rPr>
                      <w:rFonts w:hint="default" w:ascii="Times New Roman" w:hAnsi="Times New Roman" w:cs="Times New Roman"/>
                      <w:kern w:val="2"/>
                      <w:sz w:val="18"/>
                      <w:szCs w:val="18"/>
                      <w:lang w:val="en-US" w:eastAsia="zh-CN"/>
                    </w:rPr>
                    <w:t>85</w:t>
                  </w:r>
                </w:p>
              </w:tc>
              <w:tc>
                <w:tcPr>
                  <w:tcW w:w="656"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PM</w:t>
                  </w:r>
                  <w:r>
                    <w:rPr>
                      <w:rFonts w:hint="default" w:ascii="Times New Roman" w:hAnsi="Times New Roman" w:cs="Times New Roman"/>
                      <w:kern w:val="2"/>
                      <w:sz w:val="18"/>
                      <w:szCs w:val="18"/>
                      <w:vertAlign w:val="subscript"/>
                    </w:rPr>
                    <w:t>10</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年平均质量浓度</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48</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70</w:t>
                  </w:r>
                </w:p>
              </w:tc>
              <w:tc>
                <w:tcPr>
                  <w:tcW w:w="840"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val="en-US" w:eastAsia="zh-CN"/>
                    </w:rPr>
                  </w:pPr>
                  <w:r>
                    <w:rPr>
                      <w:rFonts w:hint="default" w:ascii="Times New Roman" w:hAnsi="Times New Roman" w:cs="Times New Roman"/>
                      <w:kern w:val="2"/>
                      <w:sz w:val="18"/>
                      <w:szCs w:val="18"/>
                      <w:lang w:val="en-US" w:eastAsia="zh-CN"/>
                    </w:rPr>
                    <w:t>68.6</w:t>
                  </w:r>
                </w:p>
              </w:tc>
              <w:tc>
                <w:tcPr>
                  <w:tcW w:w="656" w:type="pct"/>
                  <w:tcBorders>
                    <w:tl2br w:val="nil"/>
                    <w:tr2bl w:val="nil"/>
                  </w:tcBorders>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CO</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24小时平均第95百分位数浓度值</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1.2</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4</w:t>
                  </w:r>
                </w:p>
              </w:tc>
              <w:tc>
                <w:tcPr>
                  <w:tcW w:w="840"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val="en-US" w:eastAsia="zh-CN"/>
                    </w:rPr>
                  </w:pPr>
                  <w:r>
                    <w:rPr>
                      <w:rFonts w:hint="default" w:ascii="Times New Roman" w:hAnsi="Times New Roman" w:cs="Times New Roman"/>
                      <w:kern w:val="2"/>
                      <w:sz w:val="18"/>
                      <w:szCs w:val="18"/>
                      <w:lang w:val="en-US" w:eastAsia="zh-CN"/>
                    </w:rPr>
                    <w:t>30</w:t>
                  </w:r>
                </w:p>
              </w:tc>
              <w:tc>
                <w:tcPr>
                  <w:tcW w:w="656" w:type="pct"/>
                  <w:tcBorders>
                    <w:tl2br w:val="nil"/>
                    <w:tr2bl w:val="nil"/>
                  </w:tcBorders>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O</w:t>
                  </w:r>
                  <w:r>
                    <w:rPr>
                      <w:rFonts w:hint="default" w:ascii="Times New Roman" w:hAnsi="Times New Roman" w:cs="Times New Roman"/>
                      <w:kern w:val="2"/>
                      <w:sz w:val="18"/>
                      <w:szCs w:val="18"/>
                      <w:vertAlign w:val="subscript"/>
                    </w:rPr>
                    <w:t>3</w:t>
                  </w:r>
                </w:p>
              </w:tc>
              <w:tc>
                <w:tcPr>
                  <w:tcW w:w="155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日最大8小时滑动平均第90百分位数浓度值</w:t>
                  </w:r>
                </w:p>
              </w:tc>
              <w:tc>
                <w:tcPr>
                  <w:tcW w:w="678"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lang w:val="en-US" w:eastAsia="zh-CN"/>
                    </w:rPr>
                    <w:t>154</w:t>
                  </w:r>
                </w:p>
              </w:tc>
              <w:tc>
                <w:tcPr>
                  <w:tcW w:w="533" w:type="pct"/>
                  <w:tcBorders>
                    <w:tl2br w:val="nil"/>
                    <w:tr2bl w:val="nil"/>
                  </w:tcBorders>
                  <w:noWrap w:val="0"/>
                  <w:vAlign w:val="center"/>
                </w:tcPr>
                <w:p>
                  <w:pPr>
                    <w:pStyle w:val="49"/>
                    <w:wordWrap/>
                    <w:adjustRightInd/>
                    <w:snapToGrid/>
                    <w:rPr>
                      <w:rFonts w:hint="default" w:ascii="Times New Roman" w:hAnsi="Times New Roman" w:cs="Times New Roman"/>
                      <w:kern w:val="2"/>
                      <w:sz w:val="18"/>
                      <w:szCs w:val="18"/>
                    </w:rPr>
                  </w:pPr>
                  <w:r>
                    <w:rPr>
                      <w:rFonts w:hint="default" w:ascii="Times New Roman" w:hAnsi="Times New Roman" w:cs="Times New Roman"/>
                      <w:kern w:val="2"/>
                      <w:sz w:val="18"/>
                      <w:szCs w:val="18"/>
                    </w:rPr>
                    <w:t>160</w:t>
                  </w:r>
                </w:p>
              </w:tc>
              <w:tc>
                <w:tcPr>
                  <w:tcW w:w="840" w:type="pct"/>
                  <w:tcBorders>
                    <w:tl2br w:val="nil"/>
                    <w:tr2bl w:val="nil"/>
                  </w:tcBorders>
                  <w:noWrap w:val="0"/>
                  <w:vAlign w:val="center"/>
                </w:tcPr>
                <w:p>
                  <w:pPr>
                    <w:pStyle w:val="49"/>
                    <w:wordWrap/>
                    <w:adjustRightInd/>
                    <w:snapToGrid/>
                    <w:rPr>
                      <w:rFonts w:hint="default" w:ascii="Times New Roman" w:hAnsi="Times New Roman" w:eastAsia="宋体" w:cs="Times New Roman"/>
                      <w:kern w:val="2"/>
                      <w:sz w:val="18"/>
                      <w:szCs w:val="18"/>
                      <w:lang w:val="en-US" w:eastAsia="zh-CN"/>
                    </w:rPr>
                  </w:pPr>
                  <w:r>
                    <w:rPr>
                      <w:rFonts w:hint="default" w:ascii="Times New Roman" w:hAnsi="Times New Roman" w:cs="Times New Roman"/>
                      <w:kern w:val="2"/>
                      <w:sz w:val="18"/>
                      <w:szCs w:val="18"/>
                      <w:lang w:val="en-US" w:eastAsia="zh-CN"/>
                    </w:rPr>
                    <w:t>96.3</w:t>
                  </w:r>
                </w:p>
              </w:tc>
              <w:tc>
                <w:tcPr>
                  <w:tcW w:w="656" w:type="pct"/>
                  <w:tcBorders>
                    <w:tl2br w:val="nil"/>
                    <w:tr2bl w:val="nil"/>
                  </w:tcBorders>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达标</w:t>
                  </w:r>
                </w:p>
              </w:tc>
            </w:tr>
          </w:tbl>
          <w:p>
            <w:pPr>
              <w:spacing w:line="360" w:lineRule="auto"/>
              <w:ind w:firstLine="420" w:firstLineChars="200"/>
              <w:rPr>
                <w:rStyle w:val="22"/>
                <w:rFonts w:hint="default" w:ascii="Times New Roman" w:hAnsi="Times New Roman" w:cs="Times New Roman"/>
                <w:kern w:val="0"/>
                <w:szCs w:val="21"/>
                <w:lang w:val="zh-CN"/>
              </w:rPr>
            </w:pPr>
            <w:r>
              <w:rPr>
                <w:rFonts w:hint="default" w:ascii="Times New Roman" w:hAnsi="Times New Roman" w:cs="Times New Roman"/>
                <w:szCs w:val="21"/>
              </w:rPr>
              <w:t>由表3-1可以看出，对照《环境空气质量标准》（GB3095-2012）及《环境空气质量评价技术规范（试行）》（HJ663-2013），细颗粒物（PM</w:t>
            </w:r>
            <w:r>
              <w:rPr>
                <w:rFonts w:hint="default" w:ascii="Times New Roman" w:hAnsi="Times New Roman" w:cs="Times New Roman"/>
                <w:szCs w:val="21"/>
                <w:vertAlign w:val="subscript"/>
              </w:rPr>
              <w:t>2.5</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可吸入颗粒物（PM</w:t>
            </w:r>
            <w:r>
              <w:rPr>
                <w:rFonts w:hint="default" w:ascii="Times New Roman" w:hAnsi="Times New Roman" w:cs="Times New Roman"/>
                <w:szCs w:val="21"/>
                <w:vertAlign w:val="subscript"/>
              </w:rPr>
              <w:t>10</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二氧化氮（NO</w:t>
            </w:r>
            <w:r>
              <w:rPr>
                <w:rFonts w:hint="default" w:ascii="Times New Roman" w:hAnsi="Times New Roman" w:cs="Times New Roman"/>
                <w:szCs w:val="21"/>
                <w:vertAlign w:val="subscript"/>
              </w:rPr>
              <w:t>2</w:t>
            </w:r>
            <w:r>
              <w:rPr>
                <w:rFonts w:hint="default" w:ascii="Times New Roman" w:hAnsi="Times New Roman" w:cs="Times New Roman"/>
                <w:szCs w:val="21"/>
              </w:rPr>
              <w:t>）</w:t>
            </w:r>
            <w:r>
              <w:rPr>
                <w:rFonts w:hint="default" w:ascii="Times New Roman" w:hAnsi="Times New Roman" w:cs="Times New Roman"/>
                <w:szCs w:val="21"/>
                <w:lang w:eastAsia="zh-CN"/>
              </w:rPr>
              <w:t>、</w:t>
            </w:r>
            <w:r>
              <w:rPr>
                <w:rFonts w:hint="default" w:ascii="Times New Roman" w:hAnsi="Times New Roman" w:cs="Times New Roman"/>
                <w:szCs w:val="21"/>
              </w:rPr>
              <w:t>二氧化硫（SO</w:t>
            </w:r>
            <w:r>
              <w:rPr>
                <w:rFonts w:hint="default" w:ascii="Times New Roman" w:hAnsi="Times New Roman" w:cs="Times New Roman"/>
                <w:szCs w:val="21"/>
                <w:vertAlign w:val="subscript"/>
              </w:rPr>
              <w:t>2</w:t>
            </w:r>
            <w:r>
              <w:rPr>
                <w:rFonts w:hint="default" w:ascii="Times New Roman" w:hAnsi="Times New Roman" w:cs="Times New Roman"/>
                <w:szCs w:val="21"/>
              </w:rPr>
              <w:t>）年均浓度值</w:t>
            </w:r>
            <w:r>
              <w:rPr>
                <w:rFonts w:hint="default" w:ascii="Times New Roman" w:hAnsi="Times New Roman" w:cs="Times New Roman"/>
                <w:szCs w:val="21"/>
                <w:lang w:eastAsia="zh-CN"/>
              </w:rPr>
              <w:t>、</w:t>
            </w:r>
            <w:r>
              <w:rPr>
                <w:rFonts w:hint="default" w:ascii="Times New Roman" w:hAnsi="Times New Roman" w:cs="Times New Roman"/>
                <w:szCs w:val="21"/>
              </w:rPr>
              <w:t>臭氧（O</w:t>
            </w:r>
            <w:r>
              <w:rPr>
                <w:rFonts w:hint="default" w:ascii="Times New Roman" w:hAnsi="Times New Roman" w:cs="Times New Roman"/>
                <w:szCs w:val="21"/>
                <w:vertAlign w:val="subscript"/>
              </w:rPr>
              <w:t>3</w:t>
            </w:r>
            <w:r>
              <w:rPr>
                <w:rFonts w:hint="default" w:ascii="Times New Roman" w:hAnsi="Times New Roman" w:cs="Times New Roman"/>
                <w:szCs w:val="21"/>
              </w:rPr>
              <w:t>）日最大8小时滑动平均第90百分位数浓度值</w:t>
            </w:r>
            <w:r>
              <w:rPr>
                <w:rFonts w:hint="default" w:ascii="Times New Roman" w:hAnsi="Times New Roman" w:cs="Times New Roman"/>
                <w:szCs w:val="21"/>
                <w:lang w:val="en-US" w:eastAsia="zh-CN"/>
              </w:rPr>
              <w:t>和一氧化碳（CO）24小时平均第95百分位数浓度值均</w:t>
            </w:r>
            <w:r>
              <w:rPr>
                <w:rFonts w:hint="default" w:ascii="Times New Roman" w:hAnsi="Times New Roman" w:cs="Times New Roman"/>
                <w:szCs w:val="21"/>
              </w:rPr>
              <w:t>达到国家二级标准。综上，目前</w:t>
            </w:r>
            <w:r>
              <w:rPr>
                <w:rFonts w:hint="default" w:ascii="Times New Roman" w:hAnsi="Times New Roman" w:cs="Times New Roman"/>
                <w:szCs w:val="21"/>
                <w:lang w:val="en-US" w:eastAsia="zh-CN"/>
              </w:rPr>
              <w:t>苏州工业</w:t>
            </w:r>
            <w:r>
              <w:rPr>
                <w:rFonts w:hint="default" w:ascii="Times New Roman" w:hAnsi="Times New Roman" w:cs="Times New Roman"/>
                <w:szCs w:val="21"/>
              </w:rPr>
              <w:t>园区属于达标区</w:t>
            </w:r>
            <w:r>
              <w:rPr>
                <w:rStyle w:val="22"/>
                <w:rFonts w:hint="default" w:ascii="Times New Roman" w:hAnsi="Times New Roman" w:cs="Times New Roman"/>
                <w:kern w:val="0"/>
                <w:szCs w:val="21"/>
                <w:lang w:val="zh-CN"/>
              </w:rPr>
              <w:t>。</w:t>
            </w:r>
          </w:p>
          <w:p>
            <w:pPr>
              <w:spacing w:line="360" w:lineRule="auto"/>
              <w:ind w:firstLine="422" w:firstLineChars="200"/>
              <w:rPr>
                <w:rFonts w:hint="default" w:ascii="Times New Roman" w:hAnsi="Times New Roman" w:cs="Times New Roman"/>
                <w:b/>
                <w:bCs/>
                <w:kern w:val="0"/>
                <w:szCs w:val="21"/>
              </w:rPr>
            </w:pPr>
            <w:r>
              <w:rPr>
                <w:rFonts w:hint="default" w:ascii="Times New Roman" w:hAnsi="Times New Roman" w:cs="Times New Roman"/>
                <w:b/>
                <w:bCs/>
                <w:kern w:val="0"/>
                <w:szCs w:val="21"/>
              </w:rPr>
              <w:t>根据苏州市空气质量改善达标规划（2019～2024）：</w:t>
            </w:r>
          </w:p>
          <w:p>
            <w:pPr>
              <w:spacing w:line="360" w:lineRule="auto"/>
              <w:ind w:firstLine="422" w:firstLineChars="200"/>
              <w:rPr>
                <w:rFonts w:hint="default" w:ascii="Times New Roman" w:hAnsi="Times New Roman" w:cs="Times New Roman"/>
                <w:kern w:val="0"/>
                <w:szCs w:val="21"/>
              </w:rPr>
            </w:pPr>
            <w:r>
              <w:rPr>
                <w:rFonts w:hint="default" w:ascii="Times New Roman" w:hAnsi="Times New Roman" w:cs="Times New Roman"/>
                <w:b/>
                <w:bCs/>
                <w:kern w:val="0"/>
                <w:szCs w:val="21"/>
              </w:rPr>
              <w:t>近期目标：</w:t>
            </w:r>
            <w:r>
              <w:rPr>
                <w:rFonts w:hint="default" w:ascii="Times New Roman" w:hAnsi="Times New Roman" w:cs="Times New Roman"/>
                <w:kern w:val="0"/>
                <w:szCs w:val="21"/>
              </w:rPr>
              <w:t>到2020年，二氧化硫（SO</w:t>
            </w:r>
            <w:r>
              <w:rPr>
                <w:rFonts w:hint="default" w:ascii="Times New Roman" w:hAnsi="Times New Roman" w:cs="Times New Roman"/>
                <w:kern w:val="0"/>
                <w:szCs w:val="21"/>
                <w:vertAlign w:val="subscript"/>
              </w:rPr>
              <w:t>2</w:t>
            </w:r>
            <w:r>
              <w:rPr>
                <w:rFonts w:hint="default" w:ascii="Times New Roman" w:hAnsi="Times New Roman" w:cs="Times New Roman"/>
                <w:kern w:val="0"/>
                <w:szCs w:val="21"/>
              </w:rPr>
              <w:t>）、氮氧化物（NOx）、挥发性有机物（VOCs）排放总量均比2015年下降20%以上；确保PM</w:t>
            </w:r>
            <w:r>
              <w:rPr>
                <w:rFonts w:hint="default" w:ascii="Times New Roman" w:hAnsi="Times New Roman" w:cs="Times New Roman"/>
                <w:kern w:val="0"/>
                <w:szCs w:val="21"/>
                <w:vertAlign w:val="subscript"/>
              </w:rPr>
              <w:t>2.5</w:t>
            </w:r>
            <w:r>
              <w:rPr>
                <w:rFonts w:hint="default" w:ascii="Times New Roman" w:hAnsi="Times New Roman" w:cs="Times New Roman"/>
                <w:kern w:val="0"/>
                <w:szCs w:val="21"/>
              </w:rPr>
              <w:t>浓度比2015年下降25%以上，力争达到39微克/立方米；确保空气质量优良天数比率达到75%；确保重度及以上污染天数比率比2015年下降25%以上；确保全面实现“十三五”约束性目标。</w:t>
            </w:r>
          </w:p>
          <w:p>
            <w:pPr>
              <w:spacing w:line="360" w:lineRule="auto"/>
              <w:ind w:firstLine="422" w:firstLineChars="200"/>
              <w:rPr>
                <w:rFonts w:hint="default" w:ascii="Times New Roman" w:hAnsi="Times New Roman" w:cs="Times New Roman"/>
                <w:kern w:val="0"/>
                <w:szCs w:val="21"/>
              </w:rPr>
            </w:pPr>
            <w:r>
              <w:rPr>
                <w:rFonts w:hint="default" w:ascii="Times New Roman" w:hAnsi="Times New Roman" w:cs="Times New Roman"/>
                <w:b/>
                <w:bCs/>
                <w:kern w:val="0"/>
                <w:szCs w:val="21"/>
              </w:rPr>
              <w:t>远期目标：</w:t>
            </w:r>
            <w:r>
              <w:rPr>
                <w:rFonts w:hint="default" w:ascii="Times New Roman" w:hAnsi="Times New Roman" w:cs="Times New Roman"/>
                <w:kern w:val="0"/>
                <w:szCs w:val="21"/>
              </w:rPr>
              <w:t>力争到2024年，苏州市PM</w:t>
            </w:r>
            <w:r>
              <w:rPr>
                <w:rFonts w:hint="default" w:ascii="Times New Roman" w:hAnsi="Times New Roman" w:cs="Times New Roman"/>
                <w:kern w:val="0"/>
                <w:szCs w:val="21"/>
                <w:vertAlign w:val="subscript"/>
              </w:rPr>
              <w:t>2.5</w:t>
            </w:r>
            <w:r>
              <w:rPr>
                <w:rFonts w:hint="default" w:ascii="Times New Roman" w:hAnsi="Times New Roman" w:cs="Times New Roman"/>
                <w:kern w:val="0"/>
                <w:szCs w:val="21"/>
              </w:rPr>
              <w:t>浓度达到35μg/m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左右，臭氧浓度达到拐点，除臭氧以外的主要大气污染物浓度达到国家二级标准要求，空气质量优良天数比率达到80%</w:t>
            </w:r>
          </w:p>
          <w:p>
            <w:pPr>
              <w:spacing w:line="360" w:lineRule="auto"/>
              <w:ind w:firstLine="422" w:firstLineChars="200"/>
              <w:rPr>
                <w:rFonts w:hint="default" w:ascii="Times New Roman" w:hAnsi="Times New Roman" w:cs="Times New Roman"/>
                <w:kern w:val="0"/>
                <w:szCs w:val="21"/>
              </w:rPr>
            </w:pPr>
            <w:r>
              <w:rPr>
                <w:rFonts w:hint="default" w:ascii="Times New Roman" w:hAnsi="Times New Roman" w:cs="Times New Roman"/>
                <w:b/>
                <w:bCs/>
                <w:kern w:val="0"/>
                <w:szCs w:val="21"/>
              </w:rPr>
              <w:t>总体战略：</w:t>
            </w:r>
            <w:r>
              <w:rPr>
                <w:rFonts w:hint="default" w:ascii="Times New Roman" w:hAnsi="Times New Roman" w:cs="Times New Roman"/>
                <w:kern w:val="0"/>
                <w:szCs w:val="21"/>
              </w:rPr>
              <w:t>以不断降低PM</w:t>
            </w:r>
            <w:r>
              <w:rPr>
                <w:rFonts w:hint="default" w:ascii="Times New Roman" w:hAnsi="Times New Roman" w:cs="Times New Roman"/>
                <w:kern w:val="0"/>
                <w:szCs w:val="21"/>
                <w:vertAlign w:val="subscript"/>
              </w:rPr>
              <w:t>2.5</w:t>
            </w:r>
            <w:r>
              <w:rPr>
                <w:rFonts w:hint="default" w:ascii="Times New Roman" w:hAnsi="Times New Roman" w:cs="Times New Roman"/>
                <w:kern w:val="0"/>
                <w:szCs w:val="21"/>
              </w:rPr>
              <w:t>浓度，明显减少重污染天数，明显改善环境空气质量，明显增强群众的蓝天幸福感为核心目标，强化煤炭质量管理，推进热电整合，优化产业结构和布局；促进高排放车辆淘汰，推进运输结构调整；提高各行业清洁化生产水平，全面执行大气污染物特别排放限值，不断推进重点行业提标改造，加强监测监控管理水平；完成工业炉窑综合整治，进一步提高电力、钢铁及建材行业排放要求，完成非电行业氮氧化物排放深度治理，对标最严格的绩效分级标准实施重点企业颗粒物无组织排放深度治理；完成重点行业低VOCs含量原辅料替代目标，从化工、涂装、纺织印染、电子等工业行业挖掘VOCs减排潜力，全面加强VOCs无组织排放治理，试点基于光化学活性的VOCs关键组分管控；以施工工地、港口码头和堆场为重点提高扬尘污染控制水平。促进PM</w:t>
            </w:r>
            <w:r>
              <w:rPr>
                <w:rFonts w:hint="default" w:ascii="Times New Roman" w:hAnsi="Times New Roman" w:cs="Times New Roman"/>
                <w:kern w:val="0"/>
                <w:szCs w:val="21"/>
                <w:vertAlign w:val="subscript"/>
              </w:rPr>
              <w:t>2.5</w:t>
            </w:r>
            <w:r>
              <w:rPr>
                <w:rFonts w:hint="default" w:ascii="Times New Roman" w:hAnsi="Times New Roman" w:cs="Times New Roman"/>
                <w:kern w:val="0"/>
                <w:szCs w:val="21"/>
              </w:rPr>
              <w:t>和臭氧协同控制，推进区域联防联控，提升大气污染精细化防控能力。</w:t>
            </w:r>
          </w:p>
          <w:p>
            <w:pPr>
              <w:spacing w:line="360" w:lineRule="auto"/>
              <w:ind w:firstLine="420" w:firstLineChars="20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VOCs现状数据引用</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2020年苏州工业园区区域环境质量状况（特征因子）</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中</w:t>
            </w:r>
            <w:r>
              <w:rPr>
                <w:rFonts w:hint="default" w:ascii="Times New Roman" w:hAnsi="Times New Roman" w:eastAsia="宋体" w:cs="Times New Roman"/>
                <w:color w:val="auto"/>
                <w:kern w:val="0"/>
                <w:szCs w:val="21"/>
                <w:highlight w:val="yellow"/>
                <w:lang w:val="en-US" w:eastAsia="zh-CN"/>
              </w:rPr>
              <w:t>苏州</w:t>
            </w:r>
            <w:r>
              <w:rPr>
                <w:rFonts w:hint="eastAsia" w:cs="Times New Roman"/>
                <w:color w:val="auto"/>
                <w:kern w:val="0"/>
                <w:szCs w:val="21"/>
                <w:highlight w:val="yellow"/>
                <w:lang w:val="en-US" w:eastAsia="zh-CN"/>
              </w:rPr>
              <w:t>工业</w:t>
            </w:r>
            <w:r>
              <w:rPr>
                <w:rFonts w:hint="default" w:ascii="Times New Roman" w:hAnsi="Times New Roman" w:eastAsia="宋体" w:cs="Times New Roman"/>
                <w:color w:val="auto"/>
                <w:kern w:val="0"/>
                <w:szCs w:val="21"/>
                <w:highlight w:val="yellow"/>
                <w:lang w:val="en-US" w:eastAsia="zh-CN"/>
              </w:rPr>
              <w:t>园区</w:t>
            </w:r>
            <w:r>
              <w:rPr>
                <w:rFonts w:hint="eastAsia" w:ascii="Times New Roman" w:hAnsi="Times New Roman" w:eastAsia="宋体" w:cs="Times New Roman"/>
                <w:color w:val="auto"/>
                <w:kern w:val="0"/>
                <w:szCs w:val="21"/>
                <w:highlight w:val="yellow"/>
                <w:lang w:val="en-US" w:eastAsia="zh-CN"/>
              </w:rPr>
              <w:t>生态环境局</w:t>
            </w:r>
            <w:r>
              <w:rPr>
                <w:rFonts w:hint="default" w:ascii="Times New Roman" w:hAnsi="Times New Roman" w:eastAsia="宋体" w:cs="Times New Roman"/>
                <w:color w:val="auto"/>
                <w:kern w:val="0"/>
                <w:szCs w:val="21"/>
                <w:highlight w:val="none"/>
                <w:lang w:val="en-US" w:eastAsia="zh-CN"/>
              </w:rPr>
              <w:t>于</w:t>
            </w:r>
            <w:r>
              <w:rPr>
                <w:rFonts w:hint="default" w:ascii="Times New Roman" w:hAnsi="Times New Roman" w:eastAsia="宋体" w:cs="Times New Roman"/>
                <w:color w:val="auto"/>
                <w:kern w:val="0"/>
                <w:szCs w:val="21"/>
                <w:highlight w:val="none"/>
              </w:rPr>
              <w:t>2020年5月</w:t>
            </w:r>
            <w:r>
              <w:rPr>
                <w:rFonts w:hint="default" w:ascii="Times New Roman" w:hAnsi="Times New Roman" w:eastAsia="宋体" w:cs="Times New Roman"/>
                <w:color w:val="auto"/>
                <w:kern w:val="0"/>
                <w:szCs w:val="21"/>
                <w:highlight w:val="none"/>
                <w:lang w:val="en-US" w:eastAsia="zh-CN"/>
              </w:rPr>
              <w:t>在</w:t>
            </w:r>
            <w:r>
              <w:rPr>
                <w:rFonts w:hint="eastAsia" w:cs="Times New Roman"/>
                <w:color w:val="auto"/>
                <w:kern w:val="0"/>
                <w:szCs w:val="21"/>
                <w:highlight w:val="none"/>
                <w:lang w:val="en-US" w:eastAsia="zh-CN"/>
              </w:rPr>
              <w:t>苏虹大楼</w:t>
            </w:r>
            <w:r>
              <w:rPr>
                <w:rFonts w:hint="default" w:ascii="Times New Roman" w:hAnsi="Times New Roman" w:eastAsia="宋体" w:cs="Times New Roman"/>
                <w:color w:val="auto"/>
                <w:kern w:val="0"/>
                <w:szCs w:val="21"/>
                <w:highlight w:val="none"/>
              </w:rPr>
              <w:t>（E</w:t>
            </w:r>
            <w:r>
              <w:rPr>
                <w:rFonts w:hint="default" w:ascii="Times New Roman" w:hAnsi="Times New Roman" w:eastAsia="宋体" w:cs="Times New Roman"/>
                <w:color w:val="auto"/>
                <w:kern w:val="0"/>
                <w:szCs w:val="21"/>
                <w:highlight w:val="none"/>
                <w:lang w:val="en-US" w:eastAsia="zh-CN"/>
              </w:rPr>
              <w:t>120°42′08″</w:t>
            </w:r>
            <w:r>
              <w:rPr>
                <w:rFonts w:hint="eastAsia"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eastAsia="zh-CN"/>
              </w:rPr>
              <w:t>N</w:t>
            </w:r>
            <w:r>
              <w:rPr>
                <w:rFonts w:hint="default" w:ascii="Times New Roman" w:hAnsi="Times New Roman" w:eastAsia="宋体" w:cs="Times New Roman"/>
                <w:color w:val="auto"/>
                <w:kern w:val="0"/>
                <w:szCs w:val="21"/>
                <w:highlight w:val="none"/>
                <w:lang w:val="en-US" w:eastAsia="zh-CN"/>
              </w:rPr>
              <w:t>31°20′04″</w:t>
            </w:r>
            <w:r>
              <w:rPr>
                <w:rFonts w:hint="default" w:ascii="Times New Roman" w:hAnsi="Times New Roman" w:eastAsia="宋体" w:cs="Times New Roman"/>
                <w:color w:val="auto"/>
                <w:kern w:val="0"/>
                <w:szCs w:val="21"/>
                <w:highlight w:val="none"/>
              </w:rPr>
              <w:t>，位于本项目</w:t>
            </w:r>
            <w:r>
              <w:rPr>
                <w:rFonts w:hint="eastAsia" w:cs="Times New Roman"/>
                <w:color w:val="auto"/>
                <w:kern w:val="0"/>
                <w:szCs w:val="21"/>
                <w:highlight w:val="none"/>
                <w:lang w:val="en-US" w:eastAsia="zh-CN"/>
              </w:rPr>
              <w:t>东</w:t>
            </w:r>
            <w:r>
              <w:rPr>
                <w:rFonts w:hint="default" w:ascii="Times New Roman" w:hAnsi="Times New Roman" w:eastAsia="宋体" w:cs="Times New Roman"/>
                <w:color w:val="auto"/>
                <w:kern w:val="0"/>
                <w:szCs w:val="21"/>
                <w:highlight w:val="none"/>
                <w:lang w:val="en-US" w:eastAsia="zh-CN"/>
              </w:rPr>
              <w:t>北</w:t>
            </w:r>
            <w:r>
              <w:rPr>
                <w:rFonts w:hint="eastAsia" w:cs="Times New Roman"/>
                <w:color w:val="auto"/>
                <w:kern w:val="0"/>
                <w:szCs w:val="21"/>
                <w:highlight w:val="none"/>
                <w:lang w:val="en-US" w:eastAsia="zh-CN"/>
              </w:rPr>
              <w:t>3</w:t>
            </w:r>
            <w:r>
              <w:rPr>
                <w:rFonts w:hint="eastAsia" w:ascii="Times New Roman" w:hAnsi="Times New Roman" w:eastAsia="宋体" w:cs="Times New Roman"/>
                <w:color w:val="auto"/>
                <w:kern w:val="0"/>
                <w:szCs w:val="21"/>
                <w:highlight w:val="none"/>
                <w:lang w:val="en-US" w:eastAsia="zh-CN"/>
              </w:rPr>
              <w:t>.5k</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lang w:val="en-US" w:eastAsia="zh-CN"/>
              </w:rPr>
              <w:t>设置环境空气监测点，并对环境空气质量现状进行特征因子补充监测，监测时间：</w:t>
            </w:r>
            <w:r>
              <w:rPr>
                <w:rFonts w:hint="default" w:ascii="Times New Roman" w:hAnsi="Times New Roman" w:eastAsia="宋体" w:cs="Times New Roman"/>
                <w:color w:val="auto"/>
                <w:kern w:val="0"/>
                <w:szCs w:val="21"/>
                <w:highlight w:val="none"/>
              </w:rPr>
              <w:t>2020年5月12日~5月14日和5月16日~5月19日连续7天对8个监测点位进行采样（5月15日下雨暂停采样），每天采样4次，采样时间分别为2时、8时、14时和20时。</w:t>
            </w:r>
          </w:p>
          <w:p>
            <w:pPr>
              <w:pStyle w:val="47"/>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snapToGrid/>
                <w:color w:val="auto"/>
                <w:spacing w:val="0"/>
                <w:kern w:val="2"/>
                <w:sz w:val="21"/>
                <w:szCs w:val="21"/>
                <w:highlight w:val="none"/>
                <w:lang w:val="en-US" w:eastAsia="zh-CN" w:bidi="ar-SA"/>
              </w:rPr>
              <w:t xml:space="preserve">3-2  </w:t>
            </w:r>
            <w:r>
              <w:rPr>
                <w:rFonts w:hint="default" w:ascii="Times New Roman" w:hAnsi="Times New Roman" w:eastAsia="宋体" w:cs="Times New Roman"/>
                <w:b/>
                <w:bCs/>
                <w:color w:val="auto"/>
                <w:sz w:val="21"/>
                <w:szCs w:val="21"/>
                <w:highlight w:val="none"/>
              </w:rPr>
              <w:t>其他污染因子环境质量现状（mg/m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804"/>
              <w:gridCol w:w="805"/>
              <w:gridCol w:w="968"/>
              <w:gridCol w:w="1072"/>
              <w:gridCol w:w="1057"/>
              <w:gridCol w:w="994"/>
              <w:gridCol w:w="747"/>
              <w:gridCol w:w="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监测点位</w:t>
                  </w:r>
                </w:p>
              </w:tc>
              <w:tc>
                <w:tcPr>
                  <w:tcW w:w="1609" w:type="dxa"/>
                  <w:gridSpan w:val="2"/>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监测点坐标/m</w:t>
                  </w:r>
                </w:p>
              </w:tc>
              <w:tc>
                <w:tcPr>
                  <w:tcW w:w="968"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w:t>
                  </w:r>
                </w:p>
              </w:tc>
              <w:tc>
                <w:tcPr>
                  <w:tcW w:w="1072"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平均时间</w:t>
                  </w:r>
                </w:p>
              </w:tc>
              <w:tc>
                <w:tcPr>
                  <w:tcW w:w="1057"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监测浓度范围ug/m</w:t>
                  </w:r>
                  <w:r>
                    <w:rPr>
                      <w:rFonts w:hint="default" w:ascii="Times New Roman" w:hAnsi="Times New Roman" w:eastAsia="宋体" w:cs="Times New Roman"/>
                      <w:b/>
                      <w:bCs/>
                      <w:color w:val="auto"/>
                      <w:sz w:val="18"/>
                      <w:szCs w:val="18"/>
                      <w:highlight w:val="none"/>
                      <w:vertAlign w:val="superscript"/>
                    </w:rPr>
                    <w:t>3</w:t>
                  </w:r>
                </w:p>
              </w:tc>
              <w:tc>
                <w:tcPr>
                  <w:tcW w:w="994"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占标率范围%</w:t>
                  </w:r>
                </w:p>
              </w:tc>
              <w:tc>
                <w:tcPr>
                  <w:tcW w:w="747"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超标率/%</w:t>
                  </w:r>
                </w:p>
              </w:tc>
              <w:tc>
                <w:tcPr>
                  <w:tcW w:w="703" w:type="dxa"/>
                  <w:vMerge w:val="restart"/>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804"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X</w:t>
                  </w:r>
                </w:p>
              </w:tc>
              <w:tc>
                <w:tcPr>
                  <w:tcW w:w="805"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Y</w:t>
                  </w:r>
                </w:p>
              </w:tc>
              <w:tc>
                <w:tcPr>
                  <w:tcW w:w="968"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1072"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1057"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994"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47"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03" w:type="dxa"/>
                  <w:vMerge w:val="continue"/>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9"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color w:val="auto"/>
                      <w:kern w:val="0"/>
                      <w:sz w:val="18"/>
                      <w:szCs w:val="18"/>
                      <w:highlight w:val="none"/>
                      <w:lang w:val="en-US" w:eastAsia="zh-CN"/>
                    </w:rPr>
                    <w:t>苏虹大楼</w:t>
                  </w:r>
                </w:p>
              </w:tc>
              <w:tc>
                <w:tcPr>
                  <w:tcW w:w="804" w:type="dxa"/>
                  <w:tcBorders>
                    <w:tl2br w:val="nil"/>
                    <w:tr2bl w:val="nil"/>
                  </w:tcBorders>
                  <w:noWrap w:val="0"/>
                  <w:vAlign w:val="center"/>
                </w:tcPr>
                <w:p>
                  <w:pPr>
                    <w:pStyle w:val="4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3507</w:t>
                  </w:r>
                </w:p>
              </w:tc>
              <w:tc>
                <w:tcPr>
                  <w:tcW w:w="8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850</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VOCs</w:t>
                  </w:r>
                </w:p>
              </w:tc>
              <w:tc>
                <w:tcPr>
                  <w:tcW w:w="10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1小时平均</w:t>
                  </w:r>
                </w:p>
              </w:tc>
              <w:tc>
                <w:tcPr>
                  <w:tcW w:w="1057" w:type="dxa"/>
                  <w:tcBorders>
                    <w:tl2br w:val="nil"/>
                    <w:tr2bl w:val="nil"/>
                  </w:tcBorders>
                  <w:noWrap w:val="0"/>
                  <w:vAlign w:val="center"/>
                </w:tcPr>
                <w:p>
                  <w:pPr>
                    <w:pStyle w:val="48"/>
                    <w:adjustRightInd w:val="0"/>
                    <w:snapToGrid w:val="0"/>
                    <w:ind w:right="-105" w:rightChars="-50"/>
                    <w:jc w:val="both"/>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14.1~141 </w:t>
                  </w:r>
                </w:p>
              </w:tc>
              <w:tc>
                <w:tcPr>
                  <w:tcW w:w="994"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000000"/>
                      <w:kern w:val="0"/>
                      <w:sz w:val="18"/>
                      <w:szCs w:val="18"/>
                      <w:lang w:val="en-US" w:eastAsia="zh-CN" w:bidi="ar"/>
                    </w:rPr>
                    <w:t xml:space="preserve">2.4~23.5 </w:t>
                  </w:r>
                </w:p>
              </w:tc>
              <w:tc>
                <w:tcPr>
                  <w:tcW w:w="7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r>
          </w:tbl>
          <w:p>
            <w:pPr>
              <w:pStyle w:val="29"/>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rPr>
            </w:pPr>
            <w:r>
              <w:rPr>
                <w:sz w:val="24"/>
              </w:rPr>
              <mc:AlternateContent>
                <mc:Choice Requires="wps">
                  <w:drawing>
                    <wp:anchor distT="0" distB="0" distL="114300" distR="114300" simplePos="0" relativeHeight="251666432" behindDoc="0" locked="0" layoutInCell="1" allowOverlap="1">
                      <wp:simplePos x="0" y="0"/>
                      <wp:positionH relativeFrom="column">
                        <wp:posOffset>3451860</wp:posOffset>
                      </wp:positionH>
                      <wp:positionV relativeFrom="paragraph">
                        <wp:posOffset>1979930</wp:posOffset>
                      </wp:positionV>
                      <wp:extent cx="785495" cy="3016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85495" cy="301625"/>
                              </a:xfrm>
                              <a:prstGeom prst="rect">
                                <a:avLst/>
                              </a:prstGeom>
                              <a:noFill/>
                              <a:ln>
                                <a:noFill/>
                              </a:ln>
                            </wps:spPr>
                            <wps:txbx>
                              <w:txbxContent>
                                <w:p>
                                  <w:pPr>
                                    <w:rPr>
                                      <w:rFonts w:hint="default" w:eastAsia="宋体"/>
                                      <w:lang w:val="en-US" w:eastAsia="zh-CN"/>
                                    </w:rPr>
                                  </w:pPr>
                                  <w:r>
                                    <w:rPr>
                                      <w:rFonts w:hint="eastAsia"/>
                                      <w:lang w:val="en-US" w:eastAsia="zh-CN"/>
                                    </w:rPr>
                                    <w:t>监测点位</w:t>
                                  </w:r>
                                </w:p>
                              </w:txbxContent>
                            </wps:txbx>
                            <wps:bodyPr upright="1"/>
                          </wps:wsp>
                        </a:graphicData>
                      </a:graphic>
                    </wp:anchor>
                  </w:drawing>
                </mc:Choice>
                <mc:Fallback>
                  <w:pict>
                    <v:shape id="_x0000_s1026" o:spid="_x0000_s1026" o:spt="202" type="#_x0000_t202" style="position:absolute;left:0pt;margin-left:271.8pt;margin-top:155.9pt;height:23.75pt;width:61.85pt;z-index:251666432;mso-width-relative:page;mso-height-relative:page;" filled="f" stroked="f" coordsize="21600,21600" o:gfxdata="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ohPvY&#10;AAAACwEAAA8AAAAAAAAAAQAgAAAAIgAAAGRycy9kb3ducmV2LnhtbFBLAQIUABQAAAAIAIdO4kAa&#10;rT9BrgEAAE8DAAAOAAAAAAAAAAEAIAAAACc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监测点位</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2407285</wp:posOffset>
                      </wp:positionH>
                      <wp:positionV relativeFrom="paragraph">
                        <wp:posOffset>715010</wp:posOffset>
                      </wp:positionV>
                      <wp:extent cx="90170" cy="94615"/>
                      <wp:effectExtent l="4445" t="4445" r="19685" b="15240"/>
                      <wp:wrapNone/>
                      <wp:docPr id="12" name="椭圆 12"/>
                      <wp:cNvGraphicFramePr/>
                      <a:graphic xmlns:a="http://schemas.openxmlformats.org/drawingml/2006/main">
                        <a:graphicData uri="http://schemas.microsoft.com/office/word/2010/wordprocessingShape">
                          <wps:wsp>
                            <wps:cNvSpPr/>
                            <wps:spPr>
                              <a:xfrm>
                                <a:off x="0" y="0"/>
                                <a:ext cx="90170" cy="94615"/>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89.55pt;margin-top:56.3pt;height:7.45pt;width:7.1pt;z-index:251664384;mso-width-relative:page;mso-height-relative:page;" fillcolor="#FF0000" filled="t" stroked="t" coordsize="21600,21600" o:gfxdata="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UNfG9kAAAALAQAADwAAAAAAAAABACAAAAAiAAAAZHJzL2Rvd25yZXYueG1s&#10;UEsBAhQAFAAAAAgAh07iQIAm/Hf3AQAAFgQAAA4AAAAAAAAAAQAgAAAAKAEAAGRycy9lMm9Eb2Mu&#10;eG1sUEsFBgAAAAAGAAYAWQEAAJEFAAAAAA==&#10;">
                      <v:fill on="t" focussize="0,0"/>
                      <v:stroke color="#000000" joinstyle="round"/>
                      <v:imagedata o:title=""/>
                      <o:lock v:ext="edit" aspectratio="f"/>
                    </v:shape>
                  </w:pict>
                </mc:Fallback>
              </mc:AlternateContent>
            </w:r>
            <w:r>
              <w:drawing>
                <wp:inline distT="0" distB="0" distL="114300" distR="114300">
                  <wp:extent cx="2858770" cy="2004060"/>
                  <wp:effectExtent l="0" t="0" r="17780" b="152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2858770" cy="2004060"/>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sz w:val="24"/>
              </w:rPr>
              <mc:AlternateContent>
                <mc:Choice Requires="wps">
                  <w:drawing>
                    <wp:anchor distT="0" distB="0" distL="114300" distR="114300" simplePos="0" relativeHeight="251665408" behindDoc="0" locked="0" layoutInCell="1" allowOverlap="1">
                      <wp:simplePos x="0" y="0"/>
                      <wp:positionH relativeFrom="column">
                        <wp:posOffset>3414395</wp:posOffset>
                      </wp:positionH>
                      <wp:positionV relativeFrom="paragraph">
                        <wp:posOffset>39370</wp:posOffset>
                      </wp:positionV>
                      <wp:extent cx="90170" cy="94615"/>
                      <wp:effectExtent l="4445" t="4445" r="19685" b="15240"/>
                      <wp:wrapNone/>
                      <wp:docPr id="13" name="椭圆 13"/>
                      <wp:cNvGraphicFramePr/>
                      <a:graphic xmlns:a="http://schemas.openxmlformats.org/drawingml/2006/main">
                        <a:graphicData uri="http://schemas.microsoft.com/office/word/2010/wordprocessingShape">
                          <wps:wsp>
                            <wps:cNvSpPr/>
                            <wps:spPr>
                              <a:xfrm>
                                <a:off x="0" y="0"/>
                                <a:ext cx="90170" cy="94615"/>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68.85pt;margin-top:3.1pt;height:7.45pt;width:7.1pt;z-index:251665408;mso-width-relative:page;mso-height-relative:page;" fillcolor="#FF0000" filled="t" stroked="t" coordsize="21600,21600" o:gfxdata="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3krZbXAAAACAEAAA8AAAAAAAAAAQAgAAAAIgAAAGRycy9kb3ducmV2LnhtbFBL&#10;AQIUABQAAAAIAIdO4kAmvXty9wEAABYEAAAOAAAAAAAAAAEAIAAAACYBAABkcnMvZTJvRG9jLnht&#10;bFBLBQYAAAAABgAGAFkBAACPBQAAAAA=&#10;">
                      <v:fill on="t" focussize="0,0"/>
                      <v:stroke color="#000000" joinstyle="round"/>
                      <v:imagedata o:title=""/>
                      <o:lock v:ext="edit" aspectratio="f"/>
                    </v:shape>
                  </w:pict>
                </mc:Fallback>
              </mc:AlternateContent>
            </w:r>
            <w:r>
              <w:rPr>
                <w:rFonts w:hint="eastAsia" w:ascii="Times New Roman" w:hAnsi="Times New Roman" w:eastAsia="宋体" w:cs="Times New Roman"/>
                <w:b/>
                <w:bCs/>
                <w:color w:val="auto"/>
                <w:sz w:val="21"/>
                <w:szCs w:val="21"/>
                <w:highlight w:val="none"/>
                <w:lang w:val="en-US" w:eastAsia="zh-CN"/>
              </w:rPr>
              <w:t>图3-1  大气监测点位图</w:t>
            </w:r>
          </w:p>
          <w:p>
            <w:pPr>
              <w:adjustRightInd w:val="0"/>
              <w:snapToGrid w:val="0"/>
              <w:spacing w:line="360" w:lineRule="auto"/>
              <w:ind w:firstLine="422" w:firstLineChars="20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2、地表水环境</w:t>
            </w:r>
          </w:p>
          <w:p>
            <w:pPr>
              <w:spacing w:line="360" w:lineRule="auto"/>
              <w:ind w:firstLine="420" w:firstLineChars="200"/>
              <w:rPr>
                <w:rFonts w:hint="eastAsia"/>
                <w:bCs/>
                <w:szCs w:val="21"/>
                <w:lang w:val="en-US" w:eastAsia="zh-CN"/>
              </w:rPr>
            </w:pPr>
            <w:r>
              <w:rPr>
                <w:rFonts w:hint="eastAsia"/>
                <w:bCs/>
                <w:szCs w:val="21"/>
              </w:rPr>
              <w:t>根据《建设项目环境影响报告表编制技术指南》（试行）</w:t>
            </w:r>
            <w:r>
              <w:rPr>
                <w:rFonts w:hint="eastAsia"/>
                <w:bCs/>
                <w:szCs w:val="21"/>
                <w:lang w:eastAsia="zh-CN"/>
              </w:rPr>
              <w:t>，</w:t>
            </w:r>
            <w:r>
              <w:rPr>
                <w:rFonts w:hint="eastAsia"/>
                <w:bCs/>
                <w:szCs w:val="21"/>
              </w:rPr>
              <w:t>引用生态环境主管部门发布的《20</w:t>
            </w:r>
            <w:r>
              <w:rPr>
                <w:rFonts w:hint="eastAsia"/>
                <w:bCs/>
                <w:szCs w:val="21"/>
                <w:lang w:val="en-US" w:eastAsia="zh-CN"/>
              </w:rPr>
              <w:t>20</w:t>
            </w:r>
            <w:r>
              <w:rPr>
                <w:rFonts w:hint="eastAsia"/>
                <w:bCs/>
                <w:szCs w:val="21"/>
              </w:rPr>
              <w:t>年苏州工业园区环境质量</w:t>
            </w:r>
            <w:r>
              <w:rPr>
                <w:rFonts w:hint="eastAsia"/>
                <w:bCs/>
                <w:szCs w:val="21"/>
                <w:lang w:val="en-US" w:eastAsia="zh-CN"/>
              </w:rPr>
              <w:t>状况</w:t>
            </w:r>
            <w:r>
              <w:rPr>
                <w:rFonts w:hint="eastAsia"/>
                <w:bCs/>
                <w:szCs w:val="21"/>
              </w:rPr>
              <w:t>公报》水环境质量数据</w:t>
            </w:r>
            <w:r>
              <w:rPr>
                <w:rFonts w:hint="eastAsia"/>
                <w:bCs/>
                <w:szCs w:val="21"/>
                <w:lang w:eastAsia="zh-CN"/>
              </w:rPr>
              <w:t>。</w:t>
            </w:r>
            <w:r>
              <w:rPr>
                <w:rFonts w:hint="eastAsia"/>
                <w:bCs/>
                <w:szCs w:val="21"/>
                <w:lang w:val="en-US" w:eastAsia="zh-CN"/>
              </w:rPr>
              <w:t>2020年，全面实施河长制全覆盖监测工作，214个水体共设置289个监测断面，全年平均水质达到或优于Ⅲ类（简称“优Ⅲ”）断面数占比为69.5%，主要污染物为氨氮和总磷。较上年，优Ⅲ断面比例上升15.9%。共有2个集中式饮用水源，分别位于太湖浦庄寺前、阳澄湖东湖南，水质达到或优于Ⅲ类标准，保持稳定，均属安全饮用水源；共有2个断面纳入省“水十条”考核，有3个断面纳入市“水十条”考核（含2个省考断面），自2018年以来省、市考核断面均符合Ⅲ类。</w:t>
            </w:r>
          </w:p>
          <w:p>
            <w:pPr>
              <w:spacing w:line="360" w:lineRule="auto"/>
              <w:ind w:firstLine="420" w:firstLineChars="200"/>
              <w:rPr>
                <w:rFonts w:hint="eastAsia"/>
                <w:bCs/>
                <w:szCs w:val="21"/>
                <w:lang w:val="en-US" w:eastAsia="zh-CN"/>
              </w:rPr>
            </w:pPr>
            <w:r>
              <w:rPr>
                <w:rFonts w:hint="eastAsia"/>
                <w:bCs/>
                <w:szCs w:val="21"/>
                <w:lang w:val="en-US" w:eastAsia="zh-CN"/>
              </w:rPr>
              <w:t>娄江（园区段）总体水质符合Ⅲ类，优于水质目标（Ⅳ类），与上年总体水质持平；吴淞江总体水质符合Ⅲ类，优于水质目标（Ⅳ类），与上年总体水质基本持平；青秋浦年均水质达到Ⅲ类标准，符合水质目标（Ⅲ类），近三年，总体水质基本持平，稳定达标；界浦河年均水质达到Ⅲ类标准，优于水质目标（Ⅳ类），近三年，总体水质优于或符合Ⅲ类，稳定达标；金鸡湖年均水质符合Ⅳ类，湖泊富营养状态指数51.4，处于轻度富营养化状态，与上年相比，总体水质基本持平，其中总磷平均浓度下降23.8%；独墅湖年均水质符合Ⅳ类，湖泊富营养状态指数50.8，处于轻度富营养化状态，与上年相比，总体水质基本持平，其中总磷平均浓度下降35.0%。</w:t>
            </w:r>
          </w:p>
          <w:p>
            <w:pPr>
              <w:spacing w:line="360" w:lineRule="auto"/>
              <w:ind w:firstLine="420" w:firstLineChars="200"/>
              <w:rPr>
                <w:rFonts w:hint="default" w:ascii="Times New Roman" w:hAnsi="Times New Roman" w:eastAsia="宋体" w:cs="Times New Roman"/>
                <w:color w:val="auto"/>
                <w:sz w:val="21"/>
                <w:szCs w:val="21"/>
                <w:highlight w:val="none"/>
              </w:rPr>
            </w:pPr>
            <w:r>
              <w:rPr>
                <w:bCs/>
                <w:color w:val="auto"/>
                <w:szCs w:val="21"/>
                <w:highlight w:val="none"/>
              </w:rPr>
              <w:t>根据</w:t>
            </w:r>
            <w:r>
              <w:rPr>
                <w:rFonts w:hint="eastAsia"/>
                <w:color w:val="auto"/>
                <w:szCs w:val="21"/>
                <w:highlight w:val="yellow"/>
              </w:rPr>
              <w:t>苏州工业园区生态环境局</w:t>
            </w:r>
            <w:r>
              <w:rPr>
                <w:color w:val="auto"/>
                <w:szCs w:val="21"/>
                <w:highlight w:val="none"/>
              </w:rPr>
              <w:t>2020年9月公布的《2020年苏州工业园区区域环境质量状况（特征因子）》中第一污水处理厂和第二污水处理厂的排放口上游500m、污水处理厂排放口、污水处理厂排放口下游1000m处吴淞江水质pH、高锰酸盐指数、SS、氨氮、总磷的监测数据，监测时间为2020年5月16日~5月18日。从监测时间至今水体无重大污染源受纳的变化，监测结果具有可参考性。监测结果如下。</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1"/>
                <w:szCs w:val="21"/>
                <w:highlight w:val="none"/>
              </w:rPr>
              <w:t>表3-</w:t>
            </w:r>
            <w:r>
              <w:rPr>
                <w:rFonts w:hint="eastAsia"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 xml:space="preserve">  水环境质量现状  单位：mg/L</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132"/>
              <w:gridCol w:w="850"/>
              <w:gridCol w:w="1274"/>
              <w:gridCol w:w="1274"/>
              <w:gridCol w:w="708"/>
              <w:gridCol w:w="992"/>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sz w:val="18"/>
                      <w:szCs w:val="18"/>
                      <w:highlight w:val="none"/>
                    </w:rPr>
                    <w:t>监测点位</w:t>
                  </w:r>
                </w:p>
              </w:tc>
              <w:tc>
                <w:tcPr>
                  <w:tcW w:w="1132"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监测日期</w:t>
                  </w:r>
                </w:p>
              </w:tc>
              <w:tc>
                <w:tcPr>
                  <w:tcW w:w="850"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监测</w:t>
                  </w:r>
                </w:p>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因子</w:t>
                  </w:r>
                </w:p>
              </w:tc>
              <w:tc>
                <w:tcPr>
                  <w:tcW w:w="1274"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浓度范围</w:t>
                  </w:r>
                </w:p>
              </w:tc>
              <w:tc>
                <w:tcPr>
                  <w:tcW w:w="1274"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vertAlign w:val="subscript"/>
                    </w:rPr>
                  </w:pPr>
                  <w:r>
                    <w:rPr>
                      <w:rFonts w:hint="default" w:ascii="Times New Roman" w:hAnsi="Times New Roman" w:eastAsia="宋体" w:cs="Times New Roman"/>
                      <w:b/>
                      <w:bCs/>
                      <w:color w:val="auto"/>
                      <w:kern w:val="0"/>
                      <w:sz w:val="18"/>
                      <w:szCs w:val="18"/>
                      <w:highlight w:val="none"/>
                    </w:rPr>
                    <w:t>污染指数</w:t>
                  </w:r>
                </w:p>
              </w:tc>
              <w:tc>
                <w:tcPr>
                  <w:tcW w:w="708"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超标率</w:t>
                  </w:r>
                </w:p>
              </w:tc>
              <w:tc>
                <w:tcPr>
                  <w:tcW w:w="992"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最大超标倍数</w:t>
                  </w:r>
                </w:p>
              </w:tc>
              <w:tc>
                <w:tcPr>
                  <w:tcW w:w="791" w:type="dxa"/>
                  <w:tcBorders>
                    <w:tl2br w:val="nil"/>
                    <w:tr2bl w:val="nil"/>
                  </w:tcBorders>
                  <w:noWrap w:val="0"/>
                  <w:vAlign w:val="center"/>
                </w:tcPr>
                <w:p>
                  <w:pPr>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第一污水</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处理厂</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排污口上游</w:t>
                  </w:r>
                </w:p>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sz w:val="18"/>
                      <w:szCs w:val="18"/>
                      <w:highlight w:val="none"/>
                    </w:rPr>
                    <w:t>500m</w:t>
                  </w:r>
                </w:p>
              </w:tc>
              <w:tc>
                <w:tcPr>
                  <w:tcW w:w="1132" w:type="dxa"/>
                  <w:vMerge w:val="restart"/>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2020.5月16日~18日</w:t>
                  </w: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sz w:val="18"/>
                      <w:szCs w:val="18"/>
                      <w:highlight w:val="none"/>
                    </w:rPr>
                    <w:t>pH</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7.64~7.87</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0.32~0.435</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rPr>
                  </w:pP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高锰酸盐指数</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3~3.2</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0.3~0.32</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rPr>
                  </w:pP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SS</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5~8</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0.083~0.133</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rPr>
                  </w:pPr>
                </w:p>
              </w:tc>
              <w:tc>
                <w:tcPr>
                  <w:tcW w:w="850" w:type="dxa"/>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sz w:val="18"/>
                      <w:szCs w:val="18"/>
                      <w:highlight w:val="none"/>
                    </w:rPr>
                    <w:t>氨氮</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0.358~0.43</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0.239~0.287</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kern w:val="0"/>
                      <w:sz w:val="18"/>
                      <w:szCs w:val="18"/>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r>
                    <w:rPr>
                      <w:rFonts w:hint="default" w:ascii="Times New Roman" w:hAnsi="Times New Roman" w:eastAsia="宋体" w:cs="Times New Roman"/>
                      <w:bCs/>
                      <w:color w:val="auto"/>
                      <w:sz w:val="18"/>
                      <w:szCs w:val="18"/>
                      <w:highlight w:val="none"/>
                    </w:rPr>
                    <w:t>总磷</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0.12~0.14</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0.4~0.467</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sz w:val="18"/>
                      <w:szCs w:val="18"/>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第一污水</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处理厂</w:t>
                  </w:r>
                </w:p>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sz w:val="18"/>
                      <w:szCs w:val="18"/>
                      <w:highlight w:val="none"/>
                    </w:rPr>
                    <w:t>排污口</w:t>
                  </w:r>
                </w:p>
              </w:tc>
              <w:tc>
                <w:tcPr>
                  <w:tcW w:w="1132" w:type="dxa"/>
                  <w:vMerge w:val="restart"/>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r>
                    <w:rPr>
                      <w:rFonts w:hint="default" w:ascii="Times New Roman" w:hAnsi="Times New Roman" w:eastAsia="宋体" w:cs="Times New Roman"/>
                      <w:bCs/>
                      <w:color w:val="auto"/>
                      <w:kern w:val="0"/>
                      <w:sz w:val="18"/>
                      <w:szCs w:val="18"/>
                      <w:highlight w:val="none"/>
                    </w:rPr>
                    <w:t>2020.5月16日~18日</w:t>
                  </w: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pH</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7.69~7.97</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0.345~0.485</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高锰酸盐指数</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2.2~3.3</w:t>
                  </w:r>
                </w:p>
              </w:tc>
              <w:tc>
                <w:tcPr>
                  <w:tcW w:w="1274" w:type="dxa"/>
                  <w:tcBorders>
                    <w:tl2br w:val="nil"/>
                    <w:tr2bl w:val="nil"/>
                  </w:tcBorders>
                  <w:noWrap w:val="0"/>
                  <w:tcMar>
                    <w:left w:w="11" w:type="dxa"/>
                    <w:right w:w="11" w:type="dxa"/>
                  </w:tcMar>
                  <w:vAlign w:val="center"/>
                </w:tcPr>
                <w:p>
                  <w:pPr>
                    <w:widowControl/>
                    <w:jc w:val="center"/>
                    <w:textAlignment w:val="top"/>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0.22~0.33</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SS</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5~6</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0.083~0.1</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氨氮</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0.278~0.49</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0.185~0.327</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总磷</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0.12~0.14</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0.4~0.467</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sz w:val="18"/>
                      <w:szCs w:val="18"/>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第一污水</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处理厂</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排污口下游</w:t>
                  </w:r>
                </w:p>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sz w:val="18"/>
                      <w:szCs w:val="18"/>
                      <w:highlight w:val="none"/>
                    </w:rPr>
                    <w:t>1000m</w:t>
                  </w:r>
                </w:p>
              </w:tc>
              <w:tc>
                <w:tcPr>
                  <w:tcW w:w="1132" w:type="dxa"/>
                  <w:vMerge w:val="restart"/>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r>
                    <w:rPr>
                      <w:rFonts w:hint="default" w:ascii="Times New Roman" w:hAnsi="Times New Roman" w:eastAsia="宋体" w:cs="Times New Roman"/>
                      <w:bCs/>
                      <w:color w:val="auto"/>
                      <w:kern w:val="0"/>
                      <w:sz w:val="18"/>
                      <w:szCs w:val="18"/>
                      <w:highlight w:val="none"/>
                    </w:rPr>
                    <w:t>2020.5月16日~18日</w:t>
                  </w: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pH</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7.75~7.86</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0.375~0.43</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高锰酸盐指数</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1.8~3.2</w:t>
                  </w:r>
                </w:p>
              </w:tc>
              <w:tc>
                <w:tcPr>
                  <w:tcW w:w="1274" w:type="dxa"/>
                  <w:tcBorders>
                    <w:tl2br w:val="nil"/>
                    <w:tr2bl w:val="nil"/>
                  </w:tcBorders>
                  <w:noWrap w:val="0"/>
                  <w:tcMar>
                    <w:left w:w="11" w:type="dxa"/>
                    <w:right w:w="11" w:type="dxa"/>
                  </w:tcMar>
                  <w:vAlign w:val="center"/>
                </w:tcPr>
                <w:p>
                  <w:pPr>
                    <w:widowControl/>
                    <w:jc w:val="center"/>
                    <w:textAlignment w:val="top"/>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0.18~0.32</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SS</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6~7</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0.1~0.117</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氨氮</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0.414~0.436</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0.276~0.291</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TP</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0.12~0.15</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0.4~0.5</w:t>
                  </w:r>
                </w:p>
              </w:tc>
              <w:tc>
                <w:tcPr>
                  <w:tcW w:w="708"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sz w:val="18"/>
                      <w:szCs w:val="18"/>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第二污水</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处理厂</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排污口上游</w:t>
                  </w:r>
                </w:p>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sz w:val="18"/>
                      <w:szCs w:val="18"/>
                      <w:highlight w:val="none"/>
                    </w:rPr>
                    <w:t>500m</w:t>
                  </w:r>
                </w:p>
              </w:tc>
              <w:tc>
                <w:tcPr>
                  <w:tcW w:w="1132" w:type="dxa"/>
                  <w:vMerge w:val="restart"/>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r>
                    <w:rPr>
                      <w:rFonts w:hint="default" w:ascii="Times New Roman" w:hAnsi="Times New Roman" w:eastAsia="宋体" w:cs="Times New Roman"/>
                      <w:bCs/>
                      <w:color w:val="auto"/>
                      <w:kern w:val="0"/>
                      <w:sz w:val="18"/>
                      <w:szCs w:val="18"/>
                      <w:highlight w:val="none"/>
                    </w:rPr>
                    <w:t>2020.5月16日~18日</w:t>
                  </w: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pH</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7.17~7.88</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0.085~0.44</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高锰酸盐指数</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2.4~3.2</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0.24~0.32</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SS</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7~8</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0.117~0.133</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氨氮</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0.327~0.523</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0.218~0.349</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总磷</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0.11~0.14</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0.367~0.467</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第二污水</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处理厂</w:t>
                  </w:r>
                </w:p>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sz w:val="18"/>
                      <w:szCs w:val="18"/>
                      <w:highlight w:val="none"/>
                    </w:rPr>
                    <w:t>排污口</w:t>
                  </w:r>
                </w:p>
              </w:tc>
              <w:tc>
                <w:tcPr>
                  <w:tcW w:w="1132" w:type="dxa"/>
                  <w:vMerge w:val="restart"/>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r>
                    <w:rPr>
                      <w:rFonts w:hint="default" w:ascii="Times New Roman" w:hAnsi="Times New Roman" w:eastAsia="宋体" w:cs="Times New Roman"/>
                      <w:bCs/>
                      <w:color w:val="auto"/>
                      <w:kern w:val="0"/>
                      <w:sz w:val="18"/>
                      <w:szCs w:val="18"/>
                      <w:highlight w:val="none"/>
                    </w:rPr>
                    <w:t>2020.5月16日~18日</w:t>
                  </w: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pH</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7.32~7.72</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0.16~0.36</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高锰酸盐指数</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2.2~4.8</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0.22~0.48</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SS</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5~7</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0.083~0.117</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氨氮</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0.629~1.03</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0.419~0.687</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总磷</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0.15~0.24</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0.5~0.8</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第二污水</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处理厂</w:t>
                  </w:r>
                </w:p>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排污口下游</w:t>
                  </w:r>
                </w:p>
                <w:p>
                  <w:pPr>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color w:val="auto"/>
                      <w:sz w:val="18"/>
                      <w:szCs w:val="18"/>
                      <w:highlight w:val="none"/>
                    </w:rPr>
                    <w:t>1000m</w:t>
                  </w:r>
                </w:p>
              </w:tc>
              <w:tc>
                <w:tcPr>
                  <w:tcW w:w="1132" w:type="dxa"/>
                  <w:vMerge w:val="restart"/>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r>
                    <w:rPr>
                      <w:rFonts w:hint="default" w:ascii="Times New Roman" w:hAnsi="Times New Roman" w:eastAsia="宋体" w:cs="Times New Roman"/>
                      <w:bCs/>
                      <w:color w:val="auto"/>
                      <w:kern w:val="0"/>
                      <w:sz w:val="18"/>
                      <w:szCs w:val="18"/>
                      <w:highlight w:val="none"/>
                    </w:rPr>
                    <w:t>2020.5月16日~18日</w:t>
                  </w: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pH</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7.42~7.81</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0.21~0.405</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高锰酸盐指数</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1~3.5</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0.1~0.35</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SS</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5~8</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0.083~0.133</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氨氮</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0.398~0.656</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0.265~0.437</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tcBorders>
                    <w:tl2br w:val="nil"/>
                    <w:tr2bl w:val="nil"/>
                  </w:tcBorders>
                  <w:noWrap w:val="0"/>
                  <w:vAlign w:val="center"/>
                </w:tcPr>
                <w:p>
                  <w:pPr>
                    <w:jc w:val="center"/>
                    <w:rPr>
                      <w:rFonts w:hint="default" w:ascii="Times New Roman" w:hAnsi="Times New Roman" w:eastAsia="宋体" w:cs="Times New Roman"/>
                      <w:bCs/>
                      <w:color w:val="auto"/>
                      <w:kern w:val="0"/>
                      <w:sz w:val="18"/>
                      <w:szCs w:val="18"/>
                      <w:highlight w:val="none"/>
                    </w:rPr>
                  </w:pPr>
                </w:p>
              </w:tc>
              <w:tc>
                <w:tcPr>
                  <w:tcW w:w="1132" w:type="dxa"/>
                  <w:vMerge w:val="continue"/>
                  <w:tcBorders>
                    <w:tl2br w:val="nil"/>
                    <w:tr2bl w:val="nil"/>
                  </w:tcBorders>
                  <w:noWrap w:val="0"/>
                  <w:vAlign w:val="center"/>
                </w:tcPr>
                <w:p>
                  <w:pPr>
                    <w:pStyle w:val="32"/>
                    <w:snapToGrid/>
                    <w:spacing w:line="240" w:lineRule="auto"/>
                    <w:ind w:firstLine="0" w:firstLineChars="0"/>
                    <w:jc w:val="center"/>
                    <w:rPr>
                      <w:rFonts w:hint="default" w:ascii="Times New Roman" w:hAnsi="Times New Roman" w:eastAsia="宋体" w:cs="Times New Roman"/>
                      <w:bCs/>
                      <w:color w:val="auto"/>
                      <w:kern w:val="0"/>
                      <w:sz w:val="18"/>
                      <w:szCs w:val="18"/>
                      <w:highlight w:val="none"/>
                      <w:vertAlign w:val="subscript"/>
                    </w:rPr>
                  </w:pPr>
                </w:p>
              </w:tc>
              <w:tc>
                <w:tcPr>
                  <w:tcW w:w="85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TP</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0.11~0.2</w:t>
                  </w:r>
                </w:p>
              </w:tc>
              <w:tc>
                <w:tcPr>
                  <w:tcW w:w="1274" w:type="dxa"/>
                  <w:tcBorders>
                    <w:tl2br w:val="nil"/>
                    <w:tr2bl w:val="nil"/>
                  </w:tcBorders>
                  <w:noWrap w:val="0"/>
                  <w:tcMar>
                    <w:left w:w="11" w:type="dxa"/>
                    <w:right w:w="11" w:type="dxa"/>
                  </w:tcMar>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0.367~0.667</w:t>
                  </w:r>
                </w:p>
              </w:tc>
              <w:tc>
                <w:tcPr>
                  <w:tcW w:w="708"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992"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w:t>
                  </w:r>
                </w:p>
              </w:tc>
              <w:tc>
                <w:tcPr>
                  <w:tcW w:w="791"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18"/>
                      <w:szCs w:val="18"/>
                      <w:highlight w:val="none"/>
                    </w:rPr>
                  </w:pPr>
                  <w:r>
                    <w:rPr>
                      <w:rFonts w:hint="default" w:ascii="Times New Roman" w:hAnsi="Times New Roman" w:eastAsia="宋体" w:cs="Times New Roman"/>
                      <w:bCs/>
                      <w:color w:val="auto"/>
                      <w:kern w:val="0"/>
                      <w:sz w:val="18"/>
                      <w:szCs w:val="18"/>
                      <w:highlight w:val="none"/>
                    </w:rPr>
                    <w:t>0.3</w:t>
                  </w:r>
                </w:p>
              </w:tc>
            </w:tr>
          </w:tbl>
          <w:p>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数据表明：项目纳污水体吴淞江水质现状良好，pH、高锰酸盐指数、氨氮、总磷各项指标均能够达到《地表水环境质量标准》（GB3838-2002）表1中Ⅳ类水质标准，SS达到《地表水资源质量标准》（SL63-94）四级标准，因此评价区域内地表水环境质量良好。</w:t>
            </w:r>
          </w:p>
          <w:p>
            <w:pPr>
              <w:spacing w:line="240" w:lineRule="auto"/>
              <w:ind w:firstLine="0" w:firstLineChars="0"/>
              <w:jc w:val="center"/>
              <w:rPr>
                <w:color w:val="auto"/>
                <w:szCs w:val="21"/>
              </w:rPr>
            </w:pPr>
            <w:r>
              <w:rPr>
                <w:sz w:val="24"/>
              </w:rPr>
              <mc:AlternateContent>
                <mc:Choice Requires="wps">
                  <w:drawing>
                    <wp:anchor distT="0" distB="0" distL="114300" distR="114300" simplePos="0" relativeHeight="251668480" behindDoc="0" locked="0" layoutInCell="1" allowOverlap="1">
                      <wp:simplePos x="0" y="0"/>
                      <wp:positionH relativeFrom="column">
                        <wp:posOffset>4263390</wp:posOffset>
                      </wp:positionH>
                      <wp:positionV relativeFrom="paragraph">
                        <wp:posOffset>1823085</wp:posOffset>
                      </wp:positionV>
                      <wp:extent cx="90170" cy="94615"/>
                      <wp:effectExtent l="4445" t="4445" r="19685" b="15240"/>
                      <wp:wrapNone/>
                      <wp:docPr id="19" name="椭圆 19"/>
                      <wp:cNvGraphicFramePr/>
                      <a:graphic xmlns:a="http://schemas.openxmlformats.org/drawingml/2006/main">
                        <a:graphicData uri="http://schemas.microsoft.com/office/word/2010/wordprocessingShape">
                          <wps:wsp>
                            <wps:cNvSpPr/>
                            <wps:spPr>
                              <a:xfrm>
                                <a:off x="0" y="0"/>
                                <a:ext cx="90170" cy="94615"/>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35.7pt;margin-top:143.55pt;height:7.45pt;width:7.1pt;z-index:251668480;mso-width-relative:page;mso-height-relative:page;" fillcolor="#FF0000" filled="t" stroked="t" coordsize="21600,21600" o:gfxdata="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B8rvdkAAAALAQAADwAAAAAAAAABACAAAAAiAAAAZHJzL2Rvd25yZXYueG1s&#10;UEsBAhQAFAAAAAgAh07iQFpXSFX3AQAAFgQAAA4AAAAAAAAAAQAgAAAAKAEAAGRycy9lMm9Eb2Mu&#10;eG1sUEsFBgAAAAAGAAYAWQEAAJEFA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1470660</wp:posOffset>
                      </wp:positionV>
                      <wp:extent cx="1111250" cy="278130"/>
                      <wp:effectExtent l="0" t="0" r="12700" b="7620"/>
                      <wp:wrapNone/>
                      <wp:docPr id="25" name="文本框 25"/>
                      <wp:cNvGraphicFramePr/>
                      <a:graphic xmlns:a="http://schemas.openxmlformats.org/drawingml/2006/main">
                        <a:graphicData uri="http://schemas.microsoft.com/office/word/2010/wordprocessingShape">
                          <wps:wsp>
                            <wps:cNvSpPr txBox="1"/>
                            <wps:spPr>
                              <a:xfrm>
                                <a:off x="0" y="0"/>
                                <a:ext cx="1111250" cy="278130"/>
                              </a:xfrm>
                              <a:prstGeom prst="rect">
                                <a:avLst/>
                              </a:prstGeom>
                              <a:solidFill>
                                <a:srgbClr val="FFFFFF"/>
                              </a:solidFill>
                              <a:ln>
                                <a:noFill/>
                              </a:ln>
                            </wps:spPr>
                            <wps:txbx>
                              <w:txbxContent>
                                <w:p>
                                  <w:pPr>
                                    <w:rPr>
                                      <w:rFonts w:hint="default" w:eastAsia="宋体"/>
                                      <w:lang w:val="en-US" w:eastAsia="zh-CN"/>
                                    </w:rPr>
                                  </w:pPr>
                                  <w:r>
                                    <w:rPr>
                                      <w:rFonts w:hint="eastAsia" w:eastAsia="宋体"/>
                                      <w:lang w:val="en-US" w:eastAsia="zh-CN"/>
                                    </w:rPr>
                                    <w:t>一污厂下游1km</w:t>
                                  </w:r>
                                </w:p>
                              </w:txbxContent>
                            </wps:txbx>
                            <wps:bodyPr upright="1"/>
                          </wps:wsp>
                        </a:graphicData>
                      </a:graphic>
                    </wp:anchor>
                  </w:drawing>
                </mc:Choice>
                <mc:Fallback>
                  <w:pict>
                    <v:shape id="_x0000_s1026" o:spid="_x0000_s1026" o:spt="202" type="#_x0000_t202" style="position:absolute;left:0pt;margin-left:304.45pt;margin-top:115.8pt;height:21.9pt;width:87.5pt;z-index:251673600;mso-width-relative:page;mso-height-relative:page;" fillcolor="#FFFFFF" filled="t" stroked="f" coordsize="21600,21600" o:gfxdata="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weOz/ZAAAACwEAAA8AAAAAAAAAAQAgAAAAIgAAAGRycy9kb3ducmV2&#10;LnhtbFBLAQIUABQAAAAIAIdO4kDGmKiOwgEAAHkDAAAOAAAAAAAAAAEAIAAAACgBAABkcnMvZTJv&#10;RG9jLnhtbFBLBQYAAAAABgAGAFkBAABcBQAAAAA=&#10;">
                      <v:fill on="t" focussize="0,0"/>
                      <v:stroke on="f"/>
                      <v:imagedata o:title=""/>
                      <o:lock v:ext="edit" aspectratio="f"/>
                      <v:textbox>
                        <w:txbxContent>
                          <w:p>
                            <w:pPr>
                              <w:rPr>
                                <w:rFonts w:hint="default" w:eastAsia="宋体"/>
                                <w:lang w:val="en-US" w:eastAsia="zh-CN"/>
                              </w:rPr>
                            </w:pPr>
                            <w:r>
                              <w:rPr>
                                <w:rFonts w:hint="eastAsia" w:eastAsia="宋体"/>
                                <w:lang w:val="en-US" w:eastAsia="zh-CN"/>
                              </w:rPr>
                              <w:t>一污厂下游1km</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2620010</wp:posOffset>
                      </wp:positionH>
                      <wp:positionV relativeFrom="paragraph">
                        <wp:posOffset>1435100</wp:posOffset>
                      </wp:positionV>
                      <wp:extent cx="90170" cy="94615"/>
                      <wp:effectExtent l="4445" t="4445" r="19685" b="15240"/>
                      <wp:wrapNone/>
                      <wp:docPr id="28" name="椭圆 28"/>
                      <wp:cNvGraphicFramePr/>
                      <a:graphic xmlns:a="http://schemas.openxmlformats.org/drawingml/2006/main">
                        <a:graphicData uri="http://schemas.microsoft.com/office/word/2010/wordprocessingShape">
                          <wps:wsp>
                            <wps:cNvSpPr/>
                            <wps:spPr>
                              <a:xfrm>
                                <a:off x="0" y="0"/>
                                <a:ext cx="90170" cy="94615"/>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06.3pt;margin-top:113pt;height:7.45pt;width:7.1pt;z-index:251669504;mso-width-relative:page;mso-height-relative:page;" fillcolor="#FF0000" filled="t" stroked="t" coordsize="21600,21600" o:gfxdata="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otjZ2AAAAAsBAAAPAAAAAAAAAAEAIAAAACIAAABkcnMvZG93bnJldi54bWxQ&#10;SwECFAAUAAAACACHTuJANk8eEPcBAAAWBAAADgAAAAAAAAABACAAAAAnAQAAZHJzL2Uyb0RvYy54&#10;bWxQSwUGAAAAAAYABgBZAQAAkAUAAAAA&#10;">
                      <v:fill on="t" focussize="0,0"/>
                      <v:stroke color="#000000" joinstyle="round"/>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2021840</wp:posOffset>
                      </wp:positionH>
                      <wp:positionV relativeFrom="paragraph">
                        <wp:posOffset>1108710</wp:posOffset>
                      </wp:positionV>
                      <wp:extent cx="1205865" cy="278130"/>
                      <wp:effectExtent l="0" t="0" r="13335" b="7620"/>
                      <wp:wrapNone/>
                      <wp:docPr id="20" name="文本框 20"/>
                      <wp:cNvGraphicFramePr/>
                      <a:graphic xmlns:a="http://schemas.openxmlformats.org/drawingml/2006/main">
                        <a:graphicData uri="http://schemas.microsoft.com/office/word/2010/wordprocessingShape">
                          <wps:wsp>
                            <wps:cNvSpPr txBox="1"/>
                            <wps:spPr>
                              <a:xfrm>
                                <a:off x="0" y="0"/>
                                <a:ext cx="1205865" cy="278130"/>
                              </a:xfrm>
                              <a:prstGeom prst="rect">
                                <a:avLst/>
                              </a:prstGeom>
                              <a:solidFill>
                                <a:srgbClr val="FFFFFF"/>
                              </a:solidFill>
                              <a:ln>
                                <a:noFill/>
                              </a:ln>
                            </wps:spPr>
                            <wps:txbx>
                              <w:txbxContent>
                                <w:p>
                                  <w:pPr>
                                    <w:rPr>
                                      <w:rFonts w:hint="default" w:eastAsia="宋体"/>
                                      <w:lang w:val="en-US" w:eastAsia="zh-CN"/>
                                    </w:rPr>
                                  </w:pPr>
                                  <w:r>
                                    <w:rPr>
                                      <w:rFonts w:hint="eastAsia" w:eastAsia="宋体"/>
                                      <w:lang w:val="en-US" w:eastAsia="zh-CN"/>
                                    </w:rPr>
                                    <w:t>一污厂上游500m</w:t>
                                  </w:r>
                                </w:p>
                              </w:txbxContent>
                            </wps:txbx>
                            <wps:bodyPr upright="1"/>
                          </wps:wsp>
                        </a:graphicData>
                      </a:graphic>
                    </wp:anchor>
                  </w:drawing>
                </mc:Choice>
                <mc:Fallback>
                  <w:pict>
                    <v:shape id="_x0000_s1026" o:spid="_x0000_s1026" o:spt="202" type="#_x0000_t202" style="position:absolute;left:0pt;margin-left:159.2pt;margin-top:87.3pt;height:21.9pt;width:94.95pt;z-index:251672576;mso-width-relative:page;mso-height-relative:page;" fillcolor="#FFFFFF" filled="t" stroked="f" coordsize="21600,21600" o:gfxdata="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igBbPYAAAACwEAAA8AAAAAAAAAAQAgAAAAIgAAAGRycy9kb3ducmV2&#10;LnhtbFBLAQIUABQAAAAIAIdO4kA7Cz11wwEAAHkDAAAOAAAAAAAAAAEAIAAAACcBAABkcnMvZTJv&#10;RG9jLnhtbFBLBQYAAAAABgAGAFkBAABcBQAAAAA=&#10;">
                      <v:fill on="t" focussize="0,0"/>
                      <v:stroke on="f"/>
                      <v:imagedata o:title=""/>
                      <o:lock v:ext="edit" aspectratio="f"/>
                      <v:textbox>
                        <w:txbxContent>
                          <w:p>
                            <w:pPr>
                              <w:rPr>
                                <w:rFonts w:hint="default" w:eastAsia="宋体"/>
                                <w:lang w:val="en-US" w:eastAsia="zh-CN"/>
                              </w:rPr>
                            </w:pPr>
                            <w:r>
                              <w:rPr>
                                <w:rFonts w:hint="eastAsia" w:eastAsia="宋体"/>
                                <w:lang w:val="en-US" w:eastAsia="zh-CN"/>
                              </w:rPr>
                              <w:t>一污厂上游500m</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2953385</wp:posOffset>
                      </wp:positionH>
                      <wp:positionV relativeFrom="paragraph">
                        <wp:posOffset>1699895</wp:posOffset>
                      </wp:positionV>
                      <wp:extent cx="596265" cy="278130"/>
                      <wp:effectExtent l="0" t="0" r="13335" b="7620"/>
                      <wp:wrapNone/>
                      <wp:docPr id="17" name="文本框 17"/>
                      <wp:cNvGraphicFramePr/>
                      <a:graphic xmlns:a="http://schemas.openxmlformats.org/drawingml/2006/main">
                        <a:graphicData uri="http://schemas.microsoft.com/office/word/2010/wordprocessingShape">
                          <wps:wsp>
                            <wps:cNvSpPr txBox="1"/>
                            <wps:spPr>
                              <a:xfrm>
                                <a:off x="0" y="0"/>
                                <a:ext cx="596265" cy="278130"/>
                              </a:xfrm>
                              <a:prstGeom prst="rect">
                                <a:avLst/>
                              </a:prstGeom>
                              <a:solidFill>
                                <a:srgbClr val="FFFFFF"/>
                              </a:solidFill>
                              <a:ln>
                                <a:noFill/>
                              </a:ln>
                            </wps:spPr>
                            <wps:txbx>
                              <w:txbxContent>
                                <w:p>
                                  <w:pPr>
                                    <w:rPr>
                                      <w:rFonts w:hint="default" w:eastAsia="宋体"/>
                                      <w:lang w:val="en-US" w:eastAsia="zh-CN"/>
                                    </w:rPr>
                                  </w:pPr>
                                  <w:r>
                                    <w:rPr>
                                      <w:rFonts w:hint="eastAsia" w:eastAsia="宋体"/>
                                      <w:lang w:val="en-US" w:eastAsia="zh-CN"/>
                                    </w:rPr>
                                    <w:t>排污口</w:t>
                                  </w:r>
                                </w:p>
                              </w:txbxContent>
                            </wps:txbx>
                            <wps:bodyPr upright="1"/>
                          </wps:wsp>
                        </a:graphicData>
                      </a:graphic>
                    </wp:anchor>
                  </w:drawing>
                </mc:Choice>
                <mc:Fallback>
                  <w:pict>
                    <v:shape id="_x0000_s1026" o:spid="_x0000_s1026" o:spt="202" type="#_x0000_t202" style="position:absolute;left:0pt;margin-left:232.55pt;margin-top:133.85pt;height:21.9pt;width:46.95pt;z-index:251674624;mso-width-relative:page;mso-height-relative:page;" fillcolor="#FFFFFF" filled="t" stroked="f" coordsize="21600,21600" o:gfxdata="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d0OV2QAAAAsBAAAPAAAAAAAAAAEAIAAAACIAAABkcnMvZG93bnJl&#10;di54bWxQSwECFAAUAAAACACHTuJAP8cby8MBAAB4AwAADgAAAAAAAAABACAAAAAoAQAAZHJzL2Uy&#10;b0RvYy54bWxQSwUGAAAAAAYABgBZAQAAXQUAAAAA&#10;">
                      <v:fill on="t" focussize="0,0"/>
                      <v:stroke on="f"/>
                      <v:imagedata o:title=""/>
                      <o:lock v:ext="edit" aspectratio="f"/>
                      <v:textbox>
                        <w:txbxContent>
                          <w:p>
                            <w:pPr>
                              <w:rPr>
                                <w:rFonts w:hint="default" w:eastAsia="宋体"/>
                                <w:lang w:val="en-US" w:eastAsia="zh-CN"/>
                              </w:rPr>
                            </w:pPr>
                            <w:r>
                              <w:rPr>
                                <w:rFonts w:hint="eastAsia" w:eastAsia="宋体"/>
                                <w:lang w:val="en-US" w:eastAsia="zh-CN"/>
                              </w:rPr>
                              <w:t>排污口</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3228975</wp:posOffset>
                      </wp:positionH>
                      <wp:positionV relativeFrom="paragraph">
                        <wp:posOffset>1525270</wp:posOffset>
                      </wp:positionV>
                      <wp:extent cx="90170" cy="94615"/>
                      <wp:effectExtent l="4445" t="4445" r="19685" b="15240"/>
                      <wp:wrapNone/>
                      <wp:docPr id="18" name="椭圆 18"/>
                      <wp:cNvGraphicFramePr/>
                      <a:graphic xmlns:a="http://schemas.openxmlformats.org/drawingml/2006/main">
                        <a:graphicData uri="http://schemas.microsoft.com/office/word/2010/wordprocessingShape">
                          <wps:wsp>
                            <wps:cNvSpPr/>
                            <wps:spPr>
                              <a:xfrm>
                                <a:off x="0" y="0"/>
                                <a:ext cx="90170" cy="94615"/>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54.25pt;margin-top:120.1pt;height:7.45pt;width:7.1pt;z-index:251667456;mso-width-relative:page;mso-height-relative:page;" fillcolor="#FF0000" filled="t" stroked="t" coordsize="21600,21600" o:gfxdata="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RGsU2QAAAAsBAAAPAAAAAAAAAAEAIAAAACIAAABkcnMvZG93bnJldi54bWxQ&#10;SwECFAAUAAAACACHTuJA/MzPUPYBAAAWBAAADgAAAAAAAAABACAAAAAoAQAAZHJzL2Uyb0RvYy54&#10;bWxQSwUGAAAAAAYABgBZAQAAkAUAAAAA&#10;">
                      <v:fill on="t" focussize="0,0"/>
                      <v:stroke color="#000000" joinstyle="round"/>
                      <v:imagedata o:title=""/>
                      <o:lock v:ext="edit" aspectratio="f"/>
                    </v:shape>
                  </w:pict>
                </mc:Fallback>
              </mc:AlternateContent>
            </w:r>
            <w:r>
              <w:drawing>
                <wp:inline distT="0" distB="0" distL="114300" distR="114300">
                  <wp:extent cx="4665345" cy="2434590"/>
                  <wp:effectExtent l="0" t="0" r="1905" b="38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5"/>
                          <a:stretch>
                            <a:fillRect/>
                          </a:stretch>
                        </pic:blipFill>
                        <pic:spPr>
                          <a:xfrm>
                            <a:off x="0" y="0"/>
                            <a:ext cx="4665345" cy="2434590"/>
                          </a:xfrm>
                          <a:prstGeom prst="rect">
                            <a:avLst/>
                          </a:prstGeom>
                          <a:noFill/>
                          <a:ln>
                            <a:noFill/>
                          </a:ln>
                        </pic:spPr>
                      </pic:pic>
                    </a:graphicData>
                  </a:graphic>
                </wp:inline>
              </w:drawing>
            </w:r>
            <w:r>
              <w:rPr>
                <w:sz w:val="24"/>
              </w:rPr>
              <mc:AlternateContent>
                <mc:Choice Requires="wps">
                  <w:drawing>
                    <wp:anchor distT="0" distB="0" distL="114300" distR="114300" simplePos="0" relativeHeight="251671552" behindDoc="0" locked="0" layoutInCell="1" allowOverlap="1">
                      <wp:simplePos x="0" y="0"/>
                      <wp:positionH relativeFrom="column">
                        <wp:posOffset>4172585</wp:posOffset>
                      </wp:positionH>
                      <wp:positionV relativeFrom="paragraph">
                        <wp:posOffset>2557145</wp:posOffset>
                      </wp:positionV>
                      <wp:extent cx="785495" cy="3016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85495" cy="301625"/>
                              </a:xfrm>
                              <a:prstGeom prst="rect">
                                <a:avLst/>
                              </a:prstGeom>
                              <a:noFill/>
                              <a:ln>
                                <a:noFill/>
                              </a:ln>
                            </wps:spPr>
                            <wps:txbx>
                              <w:txbxContent>
                                <w:p>
                                  <w:pPr>
                                    <w:rPr>
                                      <w:rFonts w:hint="default" w:eastAsia="宋体"/>
                                      <w:lang w:val="en-US" w:eastAsia="zh-CN"/>
                                    </w:rPr>
                                  </w:pPr>
                                  <w:r>
                                    <w:rPr>
                                      <w:rFonts w:hint="eastAsia"/>
                                      <w:lang w:val="en-US" w:eastAsia="zh-CN"/>
                                    </w:rPr>
                                    <w:t>监测点位</w:t>
                                  </w:r>
                                </w:p>
                              </w:txbxContent>
                            </wps:txbx>
                            <wps:bodyPr upright="1"/>
                          </wps:wsp>
                        </a:graphicData>
                      </a:graphic>
                    </wp:anchor>
                  </w:drawing>
                </mc:Choice>
                <mc:Fallback>
                  <w:pict>
                    <v:shape id="_x0000_s1026" o:spid="_x0000_s1026" o:spt="202" type="#_x0000_t202" style="position:absolute;left:0pt;margin-left:328.55pt;margin-top:201.35pt;height:23.75pt;width:61.85pt;z-index:251671552;mso-width-relative:page;mso-height-relative:page;" filled="f" stroked="f" coordsize="21600,21600" o:gfxdata="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pv0/Y&#10;AAAACwEAAA8AAAAAAAAAAQAgAAAAIgAAAGRycy9kb3ducmV2LnhtbFBLAQIUABQAAAAIAIdO4kCc&#10;Eu9JrgEAAE8DAAAOAAAAAAAAAAEAIAAAACc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监测点位</w:t>
                            </w:r>
                          </w:p>
                        </w:txbxContent>
                      </v:textbox>
                    </v:shape>
                  </w:pict>
                </mc:Fallback>
              </mc:AlternateContent>
            </w:r>
          </w:p>
          <w:p>
            <w:pPr>
              <w:spacing w:line="240" w:lineRule="auto"/>
              <w:ind w:firstLine="0" w:firstLineChars="0"/>
              <w:jc w:val="center"/>
              <w:rPr>
                <w:rFonts w:hint="default" w:eastAsia="宋体"/>
                <w:b/>
                <w:bCs/>
                <w:color w:val="auto"/>
                <w:szCs w:val="21"/>
                <w:lang w:val="en-US" w:eastAsia="zh-CN"/>
              </w:rPr>
            </w:pPr>
            <w:r>
              <w:rPr>
                <w:b/>
                <w:bCs/>
                <w:sz w:val="21"/>
                <w:szCs w:val="21"/>
              </w:rPr>
              <mc:AlternateContent>
                <mc:Choice Requires="wps">
                  <w:drawing>
                    <wp:anchor distT="0" distB="0" distL="114300" distR="114300" simplePos="0" relativeHeight="251670528" behindDoc="0" locked="0" layoutInCell="1" allowOverlap="1">
                      <wp:simplePos x="0" y="0"/>
                      <wp:positionH relativeFrom="column">
                        <wp:posOffset>4145280</wp:posOffset>
                      </wp:positionH>
                      <wp:positionV relativeFrom="paragraph">
                        <wp:posOffset>40640</wp:posOffset>
                      </wp:positionV>
                      <wp:extent cx="90170" cy="94615"/>
                      <wp:effectExtent l="4445" t="4445" r="19685" b="15240"/>
                      <wp:wrapNone/>
                      <wp:docPr id="21" name="椭圆 21"/>
                      <wp:cNvGraphicFramePr/>
                      <a:graphic xmlns:a="http://schemas.openxmlformats.org/drawingml/2006/main">
                        <a:graphicData uri="http://schemas.microsoft.com/office/word/2010/wordprocessingShape">
                          <wps:wsp>
                            <wps:cNvSpPr/>
                            <wps:spPr>
                              <a:xfrm>
                                <a:off x="0" y="0"/>
                                <a:ext cx="90170" cy="94615"/>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26.4pt;margin-top:3.2pt;height:7.45pt;width:7.1pt;z-index:251670528;mso-width-relative:page;mso-height-relative:page;" fillcolor="#FF0000" filled="t" stroked="t" coordsize="21600,21600" o:gfxdata="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2uARdcAAAAIAQAADwAAAAAAAAABACAAAAAiAAAAZHJzL2Rvd25yZXYueG1sUEsB&#10;AhQAFAAAAAgAh07iQKAJpTn2AQAAFgQAAA4AAAAAAAAAAQAgAAAAJgEAAGRycy9lMm9Eb2MueG1s&#10;UEsFBgAAAAAGAAYAWQEAAI4FAAAAAA==&#10;">
                      <v:fill on="t" focussize="0,0"/>
                      <v:stroke color="#000000" joinstyle="round"/>
                      <v:imagedata o:title=""/>
                      <o:lock v:ext="edit" aspectratio="f"/>
                    </v:shape>
                  </w:pict>
                </mc:Fallback>
              </mc:AlternateContent>
            </w:r>
            <w:r>
              <w:rPr>
                <w:rFonts w:hint="eastAsia"/>
                <w:b/>
                <w:bCs/>
                <w:sz w:val="21"/>
                <w:szCs w:val="21"/>
                <w:lang w:val="en-US" w:eastAsia="zh-CN"/>
              </w:rPr>
              <w:t>图3-2  地表水监测点位图</w:t>
            </w:r>
          </w:p>
          <w:p>
            <w:pPr>
              <w:pStyle w:val="12"/>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环境噪声</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本项目位于苏州工业园区</w:t>
            </w:r>
            <w:r>
              <w:rPr>
                <w:rFonts w:hint="eastAsia" w:ascii="Times New Roman" w:hAnsi="Times New Roman" w:eastAsia="宋体" w:cs="Times New Roman"/>
                <w:color w:val="auto"/>
                <w:kern w:val="2"/>
                <w:sz w:val="21"/>
                <w:szCs w:val="21"/>
                <w:highlight w:val="none"/>
                <w:lang w:val="en-US" w:eastAsia="zh-CN" w:bidi="ar-SA"/>
              </w:rPr>
              <w:t>星海街220</w:t>
            </w:r>
            <w:r>
              <w:rPr>
                <w:rFonts w:hint="default" w:ascii="Times New Roman" w:hAnsi="Times New Roman" w:eastAsia="宋体" w:cs="Times New Roman"/>
                <w:color w:val="auto"/>
                <w:kern w:val="2"/>
                <w:sz w:val="21"/>
                <w:szCs w:val="21"/>
                <w:highlight w:val="none"/>
                <w:lang w:val="en-US" w:eastAsia="zh-CN" w:bidi="ar-SA"/>
              </w:rPr>
              <w:t>号，属于苏州市三类声功能区。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Cs/>
                <w:sz w:val="24"/>
                <w:szCs w:val="24"/>
              </w:rPr>
            </w:pPr>
            <w:r>
              <w:rPr>
                <w:rFonts w:hint="default" w:ascii="Times New Roman" w:hAnsi="Times New Roman" w:eastAsia="宋体" w:cs="Times New Roman"/>
                <w:color w:val="auto"/>
                <w:kern w:val="2"/>
                <w:sz w:val="21"/>
                <w:szCs w:val="21"/>
                <w:highlight w:val="none"/>
                <w:lang w:val="en-US" w:eastAsia="zh-CN" w:bidi="ar-SA"/>
              </w:rPr>
              <w:t>为了解本项目周围声环境质量现状，企业委托</w:t>
            </w:r>
            <w:r>
              <w:rPr>
                <w:rFonts w:hint="eastAsia" w:ascii="Times New Roman" w:hAnsi="Times New Roman" w:eastAsia="宋体" w:cs="Times New Roman"/>
                <w:color w:val="auto"/>
                <w:kern w:val="2"/>
                <w:sz w:val="21"/>
                <w:szCs w:val="21"/>
                <w:highlight w:val="none"/>
                <w:lang w:val="en-US" w:eastAsia="zh-CN" w:bidi="ar-SA"/>
              </w:rPr>
              <w:t>江苏玖清玖蓝检测技术</w:t>
            </w:r>
            <w:r>
              <w:rPr>
                <w:rFonts w:hint="default" w:ascii="Times New Roman" w:hAnsi="Times New Roman" w:eastAsia="宋体" w:cs="Times New Roman"/>
                <w:color w:val="auto"/>
                <w:kern w:val="2"/>
                <w:sz w:val="21"/>
                <w:szCs w:val="21"/>
                <w:highlight w:val="none"/>
                <w:lang w:val="en-US" w:eastAsia="zh-CN" w:bidi="ar-SA"/>
              </w:rPr>
              <w:t>有限公司于2021年</w:t>
            </w: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日对项目所在地边界进行昼</w:t>
            </w:r>
            <w:r>
              <w:rPr>
                <w:rFonts w:hint="eastAsia" w:ascii="Times New Roman" w:hAnsi="Times New Roman" w:eastAsia="宋体" w:cs="Times New Roman"/>
                <w:color w:val="auto"/>
                <w:kern w:val="2"/>
                <w:sz w:val="21"/>
                <w:szCs w:val="21"/>
                <w:highlight w:val="none"/>
                <w:lang w:val="en-US" w:eastAsia="zh-CN" w:bidi="ar-SA"/>
              </w:rPr>
              <w:t>夜</w:t>
            </w:r>
            <w:r>
              <w:rPr>
                <w:rFonts w:hint="default" w:ascii="Times New Roman" w:hAnsi="Times New Roman" w:eastAsia="宋体" w:cs="Times New Roman"/>
                <w:color w:val="auto"/>
                <w:kern w:val="2"/>
                <w:sz w:val="21"/>
                <w:szCs w:val="21"/>
                <w:highlight w:val="none"/>
                <w:lang w:val="en-US" w:eastAsia="zh-CN" w:bidi="ar-SA"/>
              </w:rPr>
              <w:t>间声环境现状监测</w:t>
            </w:r>
            <w:r>
              <w:rPr>
                <w:rFonts w:hint="eastAsia" w:cs="Times New Roman"/>
                <w:color w:val="auto"/>
                <w:kern w:val="2"/>
                <w:sz w:val="21"/>
                <w:szCs w:val="21"/>
                <w:highlight w:val="none"/>
                <w:lang w:val="en-US" w:eastAsia="zh-CN" w:bidi="ar-SA"/>
              </w:rPr>
              <w:t>，监测期间现有项目及周边企业均正常生产</w:t>
            </w:r>
            <w:r>
              <w:rPr>
                <w:rFonts w:hint="default" w:ascii="Times New Roman" w:hAnsi="Times New Roman" w:eastAsia="宋体" w:cs="Times New Roman"/>
                <w:color w:val="auto"/>
                <w:kern w:val="2"/>
                <w:sz w:val="21"/>
                <w:szCs w:val="21"/>
                <w:highlight w:val="none"/>
                <w:lang w:val="en-US" w:eastAsia="zh-CN" w:bidi="ar-SA"/>
              </w:rPr>
              <w:t>。监测条件：天气</w:t>
            </w:r>
            <w:r>
              <w:rPr>
                <w:rFonts w:hint="eastAsia" w:ascii="Times New Roman" w:hAnsi="Times New Roman" w:eastAsia="宋体" w:cs="Times New Roman"/>
                <w:color w:val="auto"/>
                <w:kern w:val="2"/>
                <w:sz w:val="21"/>
                <w:szCs w:val="21"/>
                <w:highlight w:val="none"/>
                <w:lang w:val="en-US" w:eastAsia="zh-CN" w:bidi="ar-SA"/>
              </w:rPr>
              <w:t>阴</w:t>
            </w:r>
            <w:r>
              <w:rPr>
                <w:rFonts w:hint="default" w:ascii="Times New Roman" w:hAnsi="Times New Roman" w:eastAsia="宋体" w:cs="Times New Roman"/>
                <w:color w:val="auto"/>
                <w:kern w:val="2"/>
                <w:sz w:val="21"/>
                <w:szCs w:val="21"/>
                <w:highlight w:val="none"/>
                <w:lang w:val="en-US" w:eastAsia="zh-CN" w:bidi="ar-SA"/>
              </w:rPr>
              <w:t>，在厂界外1m处共布设4个监测点，具体监测点位置见附图二，监测报告见附件，监测结果如下表3-</w:t>
            </w: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所示。</w:t>
            </w:r>
          </w:p>
          <w:p>
            <w:pPr>
              <w:adjustRightInd w:val="0"/>
              <w:snapToGrid w:val="0"/>
              <w:jc w:val="center"/>
              <w:rPr>
                <w:rFonts w:hint="default" w:ascii="Times New Roman" w:hAnsi="Times New Roman" w:cs="Times New Roman"/>
                <w:b/>
                <w:sz w:val="24"/>
                <w:szCs w:val="24"/>
              </w:rPr>
            </w:pPr>
            <w:r>
              <w:rPr>
                <w:rFonts w:hint="default" w:ascii="Times New Roman" w:hAnsi="Times New Roman" w:cs="Times New Roman"/>
                <w:b/>
                <w:sz w:val="21"/>
                <w:szCs w:val="21"/>
              </w:rPr>
              <w:t>表3-</w:t>
            </w:r>
            <w:r>
              <w:rPr>
                <w:rFonts w:hint="eastAsia" w:cs="Times New Roman"/>
                <w:b/>
                <w:sz w:val="21"/>
                <w:szCs w:val="21"/>
                <w:lang w:val="en-US" w:eastAsia="zh-CN"/>
              </w:rPr>
              <w:t>4</w:t>
            </w:r>
            <w:r>
              <w:rPr>
                <w:rFonts w:hint="default" w:ascii="Times New Roman" w:hAnsi="Times New Roman" w:cs="Times New Roman"/>
                <w:b/>
                <w:sz w:val="21"/>
                <w:szCs w:val="21"/>
                <w:lang w:val="en-US" w:eastAsia="zh-CN"/>
              </w:rPr>
              <w:t xml:space="preserve"> </w:t>
            </w:r>
            <w:r>
              <w:rPr>
                <w:rFonts w:hint="default" w:ascii="Times New Roman" w:hAnsi="Times New Roman" w:cs="Times New Roman"/>
                <w:b/>
                <w:sz w:val="21"/>
                <w:szCs w:val="21"/>
              </w:rPr>
              <w:t>噪声监测结果单位：dB(A)</w:t>
            </w:r>
          </w:p>
          <w:tbl>
            <w:tblPr>
              <w:tblStyle w:val="16"/>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1498"/>
              <w:gridCol w:w="1498"/>
              <w:gridCol w:w="1498"/>
              <w:gridCol w:w="1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dxa"/>
                  <w:vAlign w:val="center"/>
                </w:tcPr>
                <w:p>
                  <w:pPr>
                    <w:adjustRightInd w:val="0"/>
                    <w:snapToGrid w:val="0"/>
                    <w:jc w:val="center"/>
                    <w:rPr>
                      <w:rFonts w:hint="default" w:ascii="Times New Roman" w:hAnsi="Times New Roman" w:cs="Times New Roman"/>
                      <w:bCs/>
                      <w:sz w:val="18"/>
                      <w:szCs w:val="18"/>
                    </w:rPr>
                  </w:pPr>
                  <w:r>
                    <w:rPr>
                      <w:rFonts w:hint="default" w:ascii="Times New Roman" w:hAnsi="Times New Roman" w:cs="Times New Roman"/>
                      <w:bCs/>
                      <w:sz w:val="18"/>
                      <w:szCs w:val="18"/>
                    </w:rPr>
                    <w:t>测点</w:t>
                  </w:r>
                </w:p>
              </w:tc>
              <w:tc>
                <w:tcPr>
                  <w:tcW w:w="1498" w:type="dxa"/>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1（</w:t>
                  </w:r>
                  <w:r>
                    <w:rPr>
                      <w:rFonts w:hint="eastAsia" w:cs="Times New Roman"/>
                      <w:bCs/>
                      <w:sz w:val="18"/>
                      <w:szCs w:val="18"/>
                      <w:lang w:val="en-US" w:eastAsia="zh-CN"/>
                    </w:rPr>
                    <w:t>东</w:t>
                  </w:r>
                  <w:r>
                    <w:rPr>
                      <w:rFonts w:hint="default" w:ascii="Times New Roman" w:hAnsi="Times New Roman" w:cs="Times New Roman"/>
                      <w:bCs/>
                      <w:sz w:val="18"/>
                      <w:szCs w:val="18"/>
                    </w:rPr>
                    <w:t>）</w:t>
                  </w:r>
                </w:p>
              </w:tc>
              <w:tc>
                <w:tcPr>
                  <w:tcW w:w="1498" w:type="dxa"/>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2（南）</w:t>
                  </w:r>
                </w:p>
              </w:tc>
              <w:tc>
                <w:tcPr>
                  <w:tcW w:w="1498" w:type="dxa"/>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3（</w:t>
                  </w:r>
                  <w:r>
                    <w:rPr>
                      <w:rFonts w:hint="eastAsia" w:cs="Times New Roman"/>
                      <w:bCs/>
                      <w:sz w:val="18"/>
                      <w:szCs w:val="18"/>
                      <w:lang w:val="en-US" w:eastAsia="zh-CN"/>
                    </w:rPr>
                    <w:t>西</w:t>
                  </w:r>
                  <w:r>
                    <w:rPr>
                      <w:rFonts w:hint="default" w:ascii="Times New Roman" w:hAnsi="Times New Roman" w:cs="Times New Roman"/>
                      <w:bCs/>
                      <w:sz w:val="18"/>
                      <w:szCs w:val="18"/>
                    </w:rPr>
                    <w:t>）</w:t>
                  </w:r>
                </w:p>
              </w:tc>
              <w:tc>
                <w:tcPr>
                  <w:tcW w:w="1500" w:type="dxa"/>
                  <w:vAlign w:val="center"/>
                </w:tcPr>
                <w:p>
                  <w:pPr>
                    <w:adjustRightInd w:val="0"/>
                    <w:snapToGrid w:val="0"/>
                    <w:jc w:val="center"/>
                    <w:rPr>
                      <w:rFonts w:hint="default" w:ascii="Times New Roman" w:hAnsi="Times New Roman" w:cs="Times New Roman"/>
                      <w:bCs/>
                      <w:sz w:val="18"/>
                      <w:szCs w:val="18"/>
                    </w:rPr>
                  </w:pPr>
                  <w:r>
                    <w:rPr>
                      <w:rFonts w:hint="eastAsia" w:cs="Times New Roman"/>
                      <w:bCs/>
                      <w:sz w:val="18"/>
                      <w:szCs w:val="18"/>
                      <w:lang w:val="en-US" w:eastAsia="zh-CN"/>
                    </w:rPr>
                    <w:t>N</w:t>
                  </w:r>
                  <w:r>
                    <w:rPr>
                      <w:rFonts w:hint="default" w:ascii="Times New Roman" w:hAnsi="Times New Roman" w:cs="Times New Roman"/>
                      <w:bCs/>
                      <w:sz w:val="18"/>
                      <w:szCs w:val="18"/>
                    </w:rPr>
                    <w:t>4（北）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dxa"/>
                  <w:vAlign w:val="center"/>
                </w:tcPr>
                <w:p>
                  <w:pPr>
                    <w:adjustRightInd w:val="0"/>
                    <w:snapToGrid w:val="0"/>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昼间</w:t>
                  </w:r>
                  <w:r>
                    <w:rPr>
                      <w:rFonts w:hint="eastAsia" w:cs="Times New Roman"/>
                      <w:sz w:val="18"/>
                      <w:szCs w:val="18"/>
                      <w:lang w:eastAsia="zh-CN"/>
                    </w:rPr>
                    <w:t>（</w:t>
                  </w:r>
                  <w:r>
                    <w:rPr>
                      <w:rFonts w:hint="default" w:ascii="Times New Roman" w:hAnsi="Times New Roman" w:cs="Times New Roman"/>
                      <w:color w:val="auto"/>
                      <w:kern w:val="0"/>
                      <w:sz w:val="18"/>
                      <w:szCs w:val="18"/>
                    </w:rPr>
                    <w:t>风速：2.</w:t>
                  </w:r>
                  <w:r>
                    <w:rPr>
                      <w:rFonts w:hint="eastAsia" w:cs="Times New Roman"/>
                      <w:color w:val="auto"/>
                      <w:kern w:val="0"/>
                      <w:sz w:val="18"/>
                      <w:szCs w:val="18"/>
                      <w:lang w:val="en-US" w:eastAsia="zh-CN"/>
                    </w:rPr>
                    <w:t>4</w:t>
                  </w:r>
                  <w:r>
                    <w:rPr>
                      <w:rFonts w:hint="default" w:ascii="Times New Roman" w:hAnsi="Times New Roman" w:cs="Times New Roman"/>
                      <w:color w:val="auto"/>
                      <w:kern w:val="0"/>
                      <w:sz w:val="18"/>
                      <w:szCs w:val="18"/>
                    </w:rPr>
                    <w:t>m/s</w:t>
                  </w:r>
                  <w:r>
                    <w:rPr>
                      <w:rFonts w:hint="default" w:ascii="Times New Roman" w:hAnsi="Times New Roman" w:cs="Times New Roman"/>
                      <w:color w:val="auto"/>
                      <w:kern w:val="0"/>
                      <w:sz w:val="18"/>
                      <w:szCs w:val="18"/>
                      <w:lang w:eastAsia="zh-CN"/>
                    </w:rPr>
                    <w:t>；</w:t>
                  </w:r>
                  <w:r>
                    <w:rPr>
                      <w:rFonts w:hint="eastAsia" w:cs="Times New Roman"/>
                      <w:sz w:val="18"/>
                      <w:szCs w:val="18"/>
                      <w:lang w:eastAsia="zh-CN"/>
                    </w:rPr>
                    <w:t>）</w:t>
                  </w:r>
                </w:p>
              </w:tc>
              <w:tc>
                <w:tcPr>
                  <w:tcW w:w="1498"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54</w:t>
                  </w:r>
                </w:p>
              </w:tc>
              <w:tc>
                <w:tcPr>
                  <w:tcW w:w="1498"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52</w:t>
                  </w:r>
                </w:p>
              </w:tc>
              <w:tc>
                <w:tcPr>
                  <w:tcW w:w="1498"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55</w:t>
                  </w:r>
                </w:p>
              </w:tc>
              <w:tc>
                <w:tcPr>
                  <w:tcW w:w="1500"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dxa"/>
                  <w:vAlign w:val="center"/>
                </w:tcPr>
                <w:p>
                  <w:pPr>
                    <w:adjustRightInd w:val="0"/>
                    <w:snapToGrid w:val="0"/>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夜间</w:t>
                  </w:r>
                  <w:r>
                    <w:rPr>
                      <w:rFonts w:hint="eastAsia" w:cs="Times New Roman"/>
                      <w:sz w:val="18"/>
                      <w:szCs w:val="18"/>
                      <w:lang w:eastAsia="zh-CN"/>
                    </w:rPr>
                    <w:t>（</w:t>
                  </w:r>
                  <w:r>
                    <w:rPr>
                      <w:rFonts w:hint="default" w:ascii="Times New Roman" w:hAnsi="Times New Roman" w:cs="Times New Roman"/>
                      <w:color w:val="auto"/>
                      <w:kern w:val="0"/>
                      <w:sz w:val="18"/>
                      <w:szCs w:val="18"/>
                    </w:rPr>
                    <w:t>风速：2.</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rPr>
                    <w:t>m/s</w:t>
                  </w:r>
                  <w:r>
                    <w:rPr>
                      <w:rFonts w:hint="default" w:ascii="Times New Roman" w:hAnsi="Times New Roman" w:cs="Times New Roman"/>
                      <w:color w:val="auto"/>
                      <w:kern w:val="0"/>
                      <w:sz w:val="18"/>
                      <w:szCs w:val="18"/>
                      <w:lang w:eastAsia="zh-CN"/>
                    </w:rPr>
                    <w:t>；</w:t>
                  </w:r>
                  <w:r>
                    <w:rPr>
                      <w:rFonts w:hint="eastAsia" w:cs="Times New Roman"/>
                      <w:sz w:val="18"/>
                      <w:szCs w:val="18"/>
                      <w:lang w:eastAsia="zh-CN"/>
                    </w:rPr>
                    <w:t>）</w:t>
                  </w:r>
                </w:p>
              </w:tc>
              <w:tc>
                <w:tcPr>
                  <w:tcW w:w="1498"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47</w:t>
                  </w:r>
                </w:p>
              </w:tc>
              <w:tc>
                <w:tcPr>
                  <w:tcW w:w="1498"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47</w:t>
                  </w:r>
                </w:p>
              </w:tc>
              <w:tc>
                <w:tcPr>
                  <w:tcW w:w="1498"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8</w:t>
                  </w:r>
                </w:p>
              </w:tc>
              <w:tc>
                <w:tcPr>
                  <w:tcW w:w="1500" w:type="dxa"/>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dxa"/>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标准</w:t>
                  </w:r>
                </w:p>
              </w:tc>
              <w:tc>
                <w:tcPr>
                  <w:tcW w:w="5994" w:type="dxa"/>
                  <w:gridSpan w:val="4"/>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3类标准：昼间≤65dB(A)；夜间≤55 dB(A)</w:t>
                  </w:r>
                </w:p>
              </w:tc>
            </w:tr>
          </w:tbl>
          <w:p>
            <w:pPr>
              <w:pStyle w:val="29"/>
              <w:keepNext w:val="0"/>
              <w:keepLines w:val="0"/>
              <w:pageBreakBefore w:val="0"/>
              <w:widowControl w:val="0"/>
              <w:kinsoku/>
              <w:wordWrap/>
              <w:overflowPunct/>
              <w:topLinePunct w:val="0"/>
              <w:autoSpaceDE/>
              <w:autoSpaceDN/>
              <w:bidi w:val="0"/>
              <w:adjustRightInd/>
              <w:snapToGrid/>
              <w:spacing w:before="0" w:line="360" w:lineRule="auto"/>
              <w:ind w:right="0" w:firstLine="480" w:firstLineChars="200"/>
              <w:jc w:val="both"/>
              <w:textAlignment w:val="auto"/>
            </w:pPr>
            <w:r>
              <w:rPr>
                <w:rFonts w:hint="eastAsia"/>
                <w:lang w:val="en-US" w:eastAsia="zh-CN"/>
              </w:rPr>
              <w:t xml:space="preserve">         </w:t>
            </w:r>
            <w:r>
              <w:drawing>
                <wp:inline distT="0" distB="0" distL="114300" distR="114300">
                  <wp:extent cx="2976880" cy="2116455"/>
                  <wp:effectExtent l="0" t="0" r="1397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2976880" cy="2116455"/>
                          </a:xfrm>
                          <a:prstGeom prst="rect">
                            <a:avLst/>
                          </a:prstGeom>
                          <a:noFill/>
                          <a:ln>
                            <a:noFill/>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before="0" w:line="360" w:lineRule="auto"/>
              <w:ind w:right="0" w:firstLine="480" w:firstLineChars="200"/>
              <w:jc w:val="both"/>
              <w:textAlignment w:val="auto"/>
              <w:rPr>
                <w:rFonts w:hint="default" w:eastAsia="宋体"/>
                <w:lang w:val="en-US" w:eastAsia="zh-CN"/>
              </w:rPr>
            </w:pPr>
            <w:r>
              <w:rPr>
                <w:rFonts w:hint="eastAsia"/>
                <w:lang w:val="en-US" w:eastAsia="zh-CN"/>
              </w:rPr>
              <w:t xml:space="preserve">                  </w:t>
            </w:r>
            <w:r>
              <w:rPr>
                <w:rFonts w:hint="default" w:ascii="Times New Roman" w:hAnsi="Times New Roman" w:eastAsia="宋体" w:cs="Times New Roman"/>
                <w:b/>
                <w:bCs/>
                <w:color w:val="auto"/>
                <w:sz w:val="21"/>
                <w:szCs w:val="21"/>
                <w:highlight w:val="none"/>
              </w:rPr>
              <w:t>图3-1  噪声监测点位图</w:t>
            </w:r>
          </w:p>
          <w:p>
            <w:pPr>
              <w:pStyle w:val="29"/>
              <w:keepNext w:val="0"/>
              <w:keepLines w:val="0"/>
              <w:pageBreakBefore w:val="0"/>
              <w:widowControl w:val="0"/>
              <w:kinsoku/>
              <w:wordWrap/>
              <w:overflowPunct/>
              <w:topLinePunct w:val="0"/>
              <w:autoSpaceDE/>
              <w:autoSpaceDN/>
              <w:bidi w:val="0"/>
              <w:adjustRightInd/>
              <w:snapToGrid/>
              <w:spacing w:before="0"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监测结果表明：项目地各边界噪声监测点位所测值均可满足《声环境质量标准》（GB3096-2008）3类标准限值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说明项目地声环境质量现状较好，满足环境功能要求。</w:t>
            </w:r>
          </w:p>
          <w:p>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4、生态环境</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本项目位于产业园区内，不新增用地，周边无生态环境保护目标，故本项目不进行生态环节现状调查。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5、电磁辐射</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本项目不属于电磁辐射类项目，不进行电磁辐射现状监测与评价。</w:t>
            </w:r>
          </w:p>
          <w:p>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、土壤环境</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auto"/>
                <w:sz w:val="21"/>
                <w:szCs w:val="21"/>
                <w:highlight w:val="none"/>
                <w:lang w:val="en-US" w:eastAsia="zh-CN"/>
              </w:rPr>
              <w:t>根据《建设项目环境影响报告表编制技术指</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南》（试行），原则上不开展土壤环境质量现状调查，且本项目土壤环境污染隐患较低，厂内地面均硬化处理，化学品库及危废仓库地面均进行了防腐防渗处理，污染途径较少，危化品以及废油对土壤以及地下水的影响概率较小</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故</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不开展土壤环境影响评价。</w:t>
            </w:r>
          </w:p>
          <w:p>
            <w:pPr>
              <w:keepNext w:val="0"/>
              <w:keepLines w:val="0"/>
              <w:pageBreakBefore w:val="0"/>
              <w:widowControl w:val="0"/>
              <w:kinsoku/>
              <w:wordWrap/>
              <w:overflowPunct/>
              <w:topLinePunct w:val="0"/>
              <w:autoSpaceDE/>
              <w:autoSpaceDN/>
              <w:bidi w:val="0"/>
              <w:adjustRightInd/>
              <w:snapToGrid/>
              <w:spacing w:line="360" w:lineRule="auto"/>
              <w:ind w:right="0" w:firstLine="422" w:firstLineChars="200"/>
              <w:jc w:val="both"/>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、地下水环境</w:t>
            </w:r>
          </w:p>
          <w:p>
            <w:pPr>
              <w:pStyle w:val="15"/>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根据《建设项目环境影响报告表编制技术指南》（试行），地下水原则上不开展专项评价，涉及集中式饮用水水源和热水、矿泉水、温泉等特殊地下水资源保护区的开展地下水专项评价工作。本项目不涉及以上特殊地下水资源保护区，厂内地面均硬化处理</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化学品库及危废仓库地面均进行了防腐防渗处理，污染途径较少，危化品以及废油对土壤以及地下水的影响概率较小</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故</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不开展地下水环境影响评价。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556"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434" w:type="dxa"/>
            <w:noWrap w:val="0"/>
            <w:vAlign w:val="center"/>
          </w:tcPr>
          <w:p>
            <w:pPr>
              <w:pStyle w:val="29"/>
              <w:adjustRightInd w:val="0"/>
              <w:snapToGrid w:val="0"/>
              <w:spacing w:line="360" w:lineRule="auto"/>
              <w:jc w:val="both"/>
              <w:rPr>
                <w:rFonts w:hint="default"/>
                <w:b/>
                <w:bCs/>
                <w:sz w:val="21"/>
                <w:szCs w:val="21"/>
              </w:rPr>
            </w:pPr>
            <w:r>
              <w:rPr>
                <w:rFonts w:hint="default"/>
                <w:b/>
                <w:bCs/>
                <w:sz w:val="21"/>
                <w:szCs w:val="21"/>
              </w:rPr>
              <w:t>主要环境保护目标：</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本项目位于苏州工业园区星海街220号，根据现场踏勘</w:t>
            </w:r>
            <w:r>
              <w:rPr>
                <w:rFonts w:hint="default" w:ascii="Times New Roman" w:hAnsi="Times New Roman" w:eastAsia="宋体" w:cs="Times New Roman"/>
                <w:b w:val="0"/>
                <w:bCs w:val="0"/>
                <w:color w:val="auto"/>
                <w:sz w:val="21"/>
                <w:szCs w:val="21"/>
                <w:highlight w:val="none"/>
                <w:lang w:val="en-US" w:eastAsia="zh-CN"/>
              </w:rPr>
              <w:t>，项目区域场地平坦，环境现状良好，附近无已探明的矿床和珍贵动植物资源，没有园林古迹，也没有政府法令制定保护的名胜古迹。</w:t>
            </w:r>
            <w:r>
              <w:rPr>
                <w:rFonts w:hint="default" w:ascii="Times New Roman" w:hAnsi="Times New Roman" w:cs="Times New Roman"/>
                <w:sz w:val="21"/>
                <w:szCs w:val="21"/>
              </w:rPr>
              <w:t>项目周围环境保护目标详见下表3-</w:t>
            </w:r>
            <w:r>
              <w:rPr>
                <w:rFonts w:hint="eastAsia" w:cs="Times New Roman"/>
                <w:sz w:val="21"/>
                <w:szCs w:val="21"/>
                <w:lang w:val="en-US" w:eastAsia="zh-CN"/>
              </w:rPr>
              <w:t>5</w:t>
            </w:r>
            <w:r>
              <w:rPr>
                <w:rFonts w:hint="default" w:ascii="Times New Roman" w:hAnsi="Times New Roman" w:cs="Times New Roman"/>
                <w:sz w:val="21"/>
                <w:szCs w:val="21"/>
              </w:rPr>
              <w:t>，项目周围500m范围内有环境敏感点，项目周围500m范围内土地利用状况见附图</w:t>
            </w:r>
            <w:r>
              <w:rPr>
                <w:rFonts w:hint="default" w:ascii="Times New Roman" w:hAnsi="Times New Roman" w:cs="Times New Roman"/>
                <w:sz w:val="21"/>
                <w:szCs w:val="21"/>
                <w:lang w:eastAsia="zh-CN"/>
              </w:rPr>
              <w:t>二</w:t>
            </w:r>
            <w:r>
              <w:rPr>
                <w:rFonts w:hint="default" w:ascii="Times New Roman" w:hAnsi="Times New Roman" w:cs="Times New Roman"/>
                <w:sz w:val="21"/>
                <w:szCs w:val="21"/>
              </w:rPr>
              <w:t>。</w:t>
            </w:r>
          </w:p>
          <w:p>
            <w:pPr>
              <w:adjustRightInd w:val="0"/>
              <w:snapToGrid w:val="0"/>
              <w:jc w:val="center"/>
              <w:rPr>
                <w:rFonts w:hint="default"/>
                <w:b/>
                <w:bCs/>
              </w:rPr>
            </w:pPr>
            <w:r>
              <w:rPr>
                <w:rFonts w:hint="default"/>
                <w:b/>
                <w:bCs/>
              </w:rPr>
              <w:t>表3-</w:t>
            </w:r>
            <w:r>
              <w:rPr>
                <w:rFonts w:hint="eastAsia"/>
                <w:b/>
                <w:bCs/>
                <w:lang w:val="en-US" w:eastAsia="zh-CN"/>
              </w:rPr>
              <w:t>5</w:t>
            </w:r>
            <w:r>
              <w:rPr>
                <w:rFonts w:hint="default"/>
                <w:b/>
                <w:bCs/>
              </w:rPr>
              <w:t xml:space="preserve"> 项目周围环境保护目标表</w:t>
            </w:r>
          </w:p>
          <w:tbl>
            <w:tblPr>
              <w:tblStyle w:val="16"/>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616"/>
              <w:gridCol w:w="587"/>
              <w:gridCol w:w="775"/>
              <w:gridCol w:w="930"/>
              <w:gridCol w:w="1933"/>
              <w:gridCol w:w="889"/>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Merge w:val="restart"/>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1203" w:type="dxa"/>
                  <w:gridSpan w:val="2"/>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坐标/m</w:t>
                  </w:r>
                </w:p>
              </w:tc>
              <w:tc>
                <w:tcPr>
                  <w:tcW w:w="775" w:type="dxa"/>
                  <w:vMerge w:val="restart"/>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保护对象</w:t>
                  </w:r>
                </w:p>
              </w:tc>
              <w:tc>
                <w:tcPr>
                  <w:tcW w:w="930" w:type="dxa"/>
                  <w:vMerge w:val="restart"/>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保护</w:t>
                  </w:r>
                </w:p>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内容</w:t>
                  </w:r>
                </w:p>
              </w:tc>
              <w:tc>
                <w:tcPr>
                  <w:tcW w:w="1933" w:type="dxa"/>
                  <w:vMerge w:val="restart"/>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环境功能区</w:t>
                  </w:r>
                </w:p>
              </w:tc>
              <w:tc>
                <w:tcPr>
                  <w:tcW w:w="889" w:type="dxa"/>
                  <w:vMerge w:val="restart"/>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相对厂址方位</w:t>
                  </w:r>
                </w:p>
              </w:tc>
              <w:tc>
                <w:tcPr>
                  <w:tcW w:w="1187" w:type="dxa"/>
                  <w:vMerge w:val="restart"/>
                  <w:vAlign w:val="center"/>
                </w:tcPr>
                <w:p>
                  <w:pPr>
                    <w:pStyle w:val="30"/>
                    <w:bidi w:val="0"/>
                    <w:ind w:firstLine="0" w:firstLineChars="0"/>
                    <w:rPr>
                      <w:rFonts w:hint="eastAsia"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相对厂界距离</w:t>
                  </w:r>
                  <w:r>
                    <w:rPr>
                      <w:rFonts w:hint="eastAsia" w:ascii="Times New Roman" w:hAnsi="Times New Roman" w:eastAsia="宋体" w:cs="Times New Roman"/>
                      <w:b/>
                      <w:bCs/>
                      <w:color w:val="auto"/>
                      <w:sz w:val="18"/>
                      <w:szCs w:val="18"/>
                      <w:highlight w:val="no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616" w:type="dxa"/>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X</w:t>
                  </w:r>
                </w:p>
              </w:tc>
              <w:tc>
                <w:tcPr>
                  <w:tcW w:w="587" w:type="dxa"/>
                  <w:vAlign w:val="center"/>
                </w:tcPr>
                <w:p>
                  <w:pPr>
                    <w:pStyle w:val="30"/>
                    <w:bidi w:val="0"/>
                    <w:ind w:firstLine="0" w:firstLineChars="0"/>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Y</w:t>
                  </w:r>
                </w:p>
              </w:tc>
              <w:tc>
                <w:tcPr>
                  <w:tcW w:w="775"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930"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1933" w:type="dxa"/>
                  <w:vMerge w:val="continue"/>
                  <w:tcBorders>
                    <w:bottom w:val="single" w:color="auto" w:sz="4" w:space="0"/>
                  </w:tcBorders>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1187"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新加花园</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126</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-43</w:t>
                  </w:r>
                </w:p>
              </w:tc>
              <w:tc>
                <w:tcPr>
                  <w:tcW w:w="775"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居民</w:t>
                  </w:r>
                </w:p>
              </w:tc>
              <w:tc>
                <w:tcPr>
                  <w:tcW w:w="930"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3000人</w:t>
                  </w:r>
                </w:p>
              </w:tc>
              <w:tc>
                <w:tcPr>
                  <w:tcW w:w="1933" w:type="dxa"/>
                  <w:vMerge w:val="restart"/>
                  <w:tcBorders>
                    <w:top w:val="single" w:color="auto" w:sz="4" w:space="0"/>
                  </w:tcBorders>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环境空气质量标准》（GB3095-2012）二类</w:t>
                  </w:r>
                </w:p>
              </w:tc>
              <w:tc>
                <w:tcPr>
                  <w:tcW w:w="889"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东南</w:t>
                  </w:r>
                </w:p>
              </w:tc>
              <w:tc>
                <w:tcPr>
                  <w:tcW w:w="1187"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星海人家</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19</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-118</w:t>
                  </w:r>
                </w:p>
              </w:tc>
              <w:tc>
                <w:tcPr>
                  <w:tcW w:w="775"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居民</w:t>
                  </w:r>
                </w:p>
              </w:tc>
              <w:tc>
                <w:tcPr>
                  <w:tcW w:w="930"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1850人</w:t>
                  </w:r>
                </w:p>
              </w:tc>
              <w:tc>
                <w:tcPr>
                  <w:tcW w:w="1933"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w:t>
                  </w:r>
                </w:p>
              </w:tc>
              <w:tc>
                <w:tcPr>
                  <w:tcW w:w="1187"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苏州工业园区新城花园小学</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-86</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-87</w:t>
                  </w:r>
                </w:p>
              </w:tc>
              <w:tc>
                <w:tcPr>
                  <w:tcW w:w="775"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师生</w:t>
                  </w:r>
                </w:p>
              </w:tc>
              <w:tc>
                <w:tcPr>
                  <w:tcW w:w="930"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1600人</w:t>
                  </w:r>
                </w:p>
              </w:tc>
              <w:tc>
                <w:tcPr>
                  <w:tcW w:w="1933"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Align w:val="center"/>
                </w:tcPr>
                <w:p>
                  <w:pPr>
                    <w:pStyle w:val="30"/>
                    <w:bidi w:val="0"/>
                    <w:ind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西南</w:t>
                  </w:r>
                </w:p>
              </w:tc>
              <w:tc>
                <w:tcPr>
                  <w:tcW w:w="1187" w:type="dxa"/>
                  <w:vAlign w:val="center"/>
                </w:tcPr>
                <w:p>
                  <w:pPr>
                    <w:pStyle w:val="30"/>
                    <w:bidi w:val="0"/>
                    <w:ind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新城花园幼儿园</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-196</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-111</w:t>
                  </w:r>
                </w:p>
              </w:tc>
              <w:tc>
                <w:tcPr>
                  <w:tcW w:w="775"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师生</w:t>
                  </w:r>
                </w:p>
              </w:tc>
              <w:tc>
                <w:tcPr>
                  <w:tcW w:w="930"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300人</w:t>
                  </w:r>
                </w:p>
              </w:tc>
              <w:tc>
                <w:tcPr>
                  <w:tcW w:w="1933"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Align w:val="center"/>
                </w:tcPr>
                <w:p>
                  <w:pPr>
                    <w:bidi w:val="0"/>
                    <w:ind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西南</w:t>
                  </w:r>
                </w:p>
              </w:tc>
              <w:tc>
                <w:tcPr>
                  <w:tcW w:w="1187"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新城花园</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-295</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-134</w:t>
                  </w:r>
                </w:p>
              </w:tc>
              <w:tc>
                <w:tcPr>
                  <w:tcW w:w="775" w:type="dxa"/>
                  <w:vAlign w:val="center"/>
                </w:tcPr>
                <w:p>
                  <w:pPr>
                    <w:pStyle w:val="30"/>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居民</w:t>
                  </w:r>
                </w:p>
              </w:tc>
              <w:tc>
                <w:tcPr>
                  <w:tcW w:w="930"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800人</w:t>
                  </w:r>
                </w:p>
              </w:tc>
              <w:tc>
                <w:tcPr>
                  <w:tcW w:w="1933"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Align w:val="center"/>
                </w:tcPr>
                <w:p>
                  <w:pPr>
                    <w:bidi w:val="0"/>
                    <w:ind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西南</w:t>
                  </w:r>
                </w:p>
              </w:tc>
              <w:tc>
                <w:tcPr>
                  <w:tcW w:w="1187"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天域</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167</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-413</w:t>
                  </w:r>
                </w:p>
              </w:tc>
              <w:tc>
                <w:tcPr>
                  <w:tcW w:w="775" w:type="dxa"/>
                  <w:vAlign w:val="center"/>
                </w:tcPr>
                <w:p>
                  <w:pPr>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居民</w:t>
                  </w:r>
                </w:p>
              </w:tc>
              <w:tc>
                <w:tcPr>
                  <w:tcW w:w="930"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800人</w:t>
                  </w:r>
                </w:p>
              </w:tc>
              <w:tc>
                <w:tcPr>
                  <w:tcW w:w="1933"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东南</w:t>
                  </w:r>
                </w:p>
              </w:tc>
              <w:tc>
                <w:tcPr>
                  <w:tcW w:w="1187"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9"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都市花园</w:t>
                  </w:r>
                </w:p>
              </w:tc>
              <w:tc>
                <w:tcPr>
                  <w:tcW w:w="616"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c>
                <w:tcPr>
                  <w:tcW w:w="587"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-447</w:t>
                  </w:r>
                </w:p>
              </w:tc>
              <w:tc>
                <w:tcPr>
                  <w:tcW w:w="775" w:type="dxa"/>
                  <w:vAlign w:val="center"/>
                </w:tcPr>
                <w:p>
                  <w:pPr>
                    <w:bidi w:val="0"/>
                    <w:ind w:firstLine="0" w:firstLineChars="0"/>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居民</w:t>
                  </w:r>
                </w:p>
              </w:tc>
              <w:tc>
                <w:tcPr>
                  <w:tcW w:w="930" w:type="dxa"/>
                  <w:vAlign w:val="center"/>
                </w:tcPr>
                <w:p>
                  <w:pPr>
                    <w:pStyle w:val="30"/>
                    <w:bidi w:val="0"/>
                    <w:ind w:firstLine="0" w:firstLine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600人</w:t>
                  </w:r>
                </w:p>
              </w:tc>
              <w:tc>
                <w:tcPr>
                  <w:tcW w:w="1933" w:type="dxa"/>
                  <w:vMerge w:val="continue"/>
                  <w:vAlign w:val="center"/>
                </w:tcPr>
                <w:p>
                  <w:pPr>
                    <w:pStyle w:val="30"/>
                    <w:bidi w:val="0"/>
                    <w:ind w:firstLine="0" w:firstLineChars="0"/>
                    <w:rPr>
                      <w:rFonts w:hint="default" w:ascii="Times New Roman" w:hAnsi="Times New Roman" w:eastAsia="宋体" w:cs="Times New Roman"/>
                      <w:color w:val="auto"/>
                      <w:sz w:val="18"/>
                      <w:szCs w:val="18"/>
                      <w:highlight w:val="none"/>
                      <w:lang w:val="en-US" w:eastAsia="zh-CN"/>
                    </w:rPr>
                  </w:pPr>
                </w:p>
              </w:tc>
              <w:tc>
                <w:tcPr>
                  <w:tcW w:w="889"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西南</w:t>
                  </w:r>
                </w:p>
              </w:tc>
              <w:tc>
                <w:tcPr>
                  <w:tcW w:w="1187" w:type="dxa"/>
                  <w:vAlign w:val="center"/>
                </w:tcPr>
                <w:p>
                  <w:pPr>
                    <w:pStyle w:val="30"/>
                    <w:bidi w:val="0"/>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447</w:t>
                  </w:r>
                </w:p>
              </w:tc>
            </w:tr>
          </w:tbl>
          <w:p>
            <w:pPr>
              <w:pStyle w:val="12"/>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rPr>
              <w:t>注：大气环境保护目标坐标轴以项目所在</w:t>
            </w:r>
            <w:r>
              <w:rPr>
                <w:rFonts w:hint="eastAsia"/>
                <w:sz w:val="18"/>
                <w:szCs w:val="18"/>
                <w:lang w:val="en-US" w:eastAsia="zh-CN"/>
              </w:rPr>
              <w:t>地西南角</w:t>
            </w:r>
            <w:r>
              <w:rPr>
                <w:rFonts w:hint="default"/>
                <w:sz w:val="18"/>
                <w:szCs w:val="18"/>
              </w:rPr>
              <w:t>为坐标原点。</w:t>
            </w:r>
          </w:p>
          <w:p>
            <w:pPr>
              <w:pStyle w:val="13"/>
              <w:keepNext w:val="0"/>
              <w:keepLines w:val="0"/>
              <w:pageBreakBefore w:val="0"/>
              <w:widowControl w:val="0"/>
              <w:kinsoku/>
              <w:wordWrap/>
              <w:overflowPunct/>
              <w:topLinePunct w:val="0"/>
              <w:autoSpaceDE/>
              <w:autoSpaceDN/>
              <w:bidi w:val="0"/>
              <w:adjustRightInd/>
              <w:snapToGrid/>
              <w:ind w:firstLine="360" w:firstLineChars="200"/>
              <w:jc w:val="both"/>
              <w:textAlignment w:val="auto"/>
              <w:rPr>
                <w:rFonts w:hint="default" w:eastAsia="宋体"/>
                <w:sz w:val="18"/>
                <w:szCs w:val="18"/>
                <w:lang w:val="en-US" w:eastAsia="zh-CN"/>
              </w:rPr>
            </w:pPr>
            <w:r>
              <w:rPr>
                <w:rFonts w:hint="eastAsia"/>
                <w:sz w:val="18"/>
                <w:szCs w:val="18"/>
                <w:lang w:val="en-US" w:eastAsia="zh-CN"/>
              </w:rPr>
              <w:t>*厂界距</w:t>
            </w:r>
            <w:r>
              <w:rPr>
                <w:rFonts w:hint="eastAsia" w:cs="Times New Roman"/>
                <w:color w:val="auto"/>
                <w:sz w:val="18"/>
                <w:szCs w:val="18"/>
                <w:highlight w:val="none"/>
                <w:lang w:val="en-US" w:eastAsia="zh-CN"/>
              </w:rPr>
              <w:t>新加花园</w:t>
            </w:r>
            <w:r>
              <w:rPr>
                <w:rFonts w:hint="eastAsia"/>
                <w:sz w:val="18"/>
                <w:szCs w:val="18"/>
                <w:lang w:val="en-US" w:eastAsia="zh-CN"/>
              </w:rPr>
              <w:t>距离为80m，生产车间距</w:t>
            </w:r>
            <w:r>
              <w:rPr>
                <w:rFonts w:hint="eastAsia" w:cs="Times New Roman"/>
                <w:color w:val="auto"/>
                <w:sz w:val="18"/>
                <w:szCs w:val="18"/>
                <w:highlight w:val="none"/>
                <w:lang w:val="en-US" w:eastAsia="zh-CN"/>
              </w:rPr>
              <w:t>新加花园115m。</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eastAsia" w:ascii="Times New Roman" w:hAnsi="Times New Roman" w:eastAsia="宋体" w:cs="Times New Roman"/>
                <w:b w:val="0"/>
                <w:bCs w:val="0"/>
                <w:color w:val="auto"/>
                <w:sz w:val="21"/>
                <w:szCs w:val="21"/>
                <w:highlight w:val="none"/>
                <w:lang w:val="en-US" w:eastAsia="zh-CN"/>
              </w:rPr>
              <w:t>位于</w:t>
            </w:r>
            <w:r>
              <w:rPr>
                <w:rFonts w:hint="default" w:ascii="Times New Roman" w:hAnsi="Times New Roman" w:eastAsia="宋体" w:cs="Times New Roman"/>
                <w:b w:val="0"/>
                <w:bCs w:val="0"/>
                <w:color w:val="auto"/>
                <w:sz w:val="21"/>
                <w:szCs w:val="21"/>
                <w:highlight w:val="none"/>
                <w:lang w:val="en-US" w:eastAsia="zh-CN"/>
              </w:rPr>
              <w:t>《声环境质量标准》（GB3096-2008）3类</w:t>
            </w:r>
            <w:r>
              <w:rPr>
                <w:rFonts w:hint="eastAsia" w:ascii="Times New Roman" w:hAnsi="Times New Roman" w:eastAsia="宋体" w:cs="Times New Roman"/>
                <w:b w:val="0"/>
                <w:bCs w:val="0"/>
                <w:color w:val="auto"/>
                <w:sz w:val="21"/>
                <w:szCs w:val="21"/>
                <w:highlight w:val="none"/>
                <w:lang w:val="en-US" w:eastAsia="zh-CN"/>
              </w:rPr>
              <w:t>功能区，</w:t>
            </w:r>
            <w:r>
              <w:rPr>
                <w:rFonts w:hint="default" w:ascii="Times New Roman" w:hAnsi="Times New Roman" w:eastAsia="宋体" w:cs="Times New Roman"/>
                <w:b w:val="0"/>
                <w:bCs w:val="0"/>
                <w:color w:val="auto"/>
                <w:sz w:val="21"/>
                <w:szCs w:val="21"/>
                <w:highlight w:val="none"/>
                <w:lang w:val="en-US" w:eastAsia="zh-CN"/>
              </w:rPr>
              <w:t>厂界外50m范围内不存在声环境保护目标；厂界外500m范围内不涉及地下水集中式饮用水水源和热水、矿泉水、温泉等特殊地下水资源；</w:t>
            </w:r>
            <w:r>
              <w:rPr>
                <w:rFonts w:hint="eastAsia" w:ascii="Times New Roman" w:hAnsi="Times New Roman" w:eastAsia="宋体" w:cs="Times New Roman"/>
                <w:b w:val="0"/>
                <w:bCs w:val="0"/>
                <w:color w:val="auto"/>
                <w:sz w:val="21"/>
                <w:szCs w:val="21"/>
                <w:highlight w:val="none"/>
                <w:lang w:val="en-US" w:eastAsia="zh-CN"/>
              </w:rPr>
              <w:t>本项目不涉及新增用地，无生态环境保护目标。</w:t>
            </w:r>
          </w:p>
          <w:p>
            <w:pPr>
              <w:pStyle w:val="47"/>
              <w:keepNext w:val="0"/>
              <w:keepLines w:val="0"/>
              <w:pageBreakBefore w:val="0"/>
              <w:widowControl w:val="0"/>
              <w:kinsoku/>
              <w:wordWrap/>
              <w:overflowPunct/>
              <w:topLinePunct w:val="0"/>
              <w:autoSpaceDE/>
              <w:autoSpaceDN/>
              <w:bidi w:val="0"/>
              <w:adjustRightInd w:val="0"/>
              <w:snapToGrid w:val="0"/>
              <w:spacing w:before="0" w:beforeLines="0" w:after="0" w:line="240" w:lineRule="auto"/>
              <w:ind w:right="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eastAsia="宋体" w:cs="Times New Roman"/>
                <w:b/>
                <w:bCs/>
                <w:snapToGrid/>
                <w:color w:val="auto"/>
                <w:spacing w:val="0"/>
                <w:kern w:val="2"/>
                <w:sz w:val="21"/>
                <w:szCs w:val="22"/>
                <w:highlight w:val="none"/>
                <w:lang w:val="en-US" w:eastAsia="zh-CN" w:bidi="ar-SA"/>
              </w:rPr>
              <w:t>3-</w:t>
            </w:r>
            <w:r>
              <w:rPr>
                <w:rFonts w:hint="eastAsia" w:ascii="Times New Roman" w:hAnsi="Times New Roman" w:eastAsia="宋体" w:cs="Times New Roman"/>
                <w:b/>
                <w:bCs/>
                <w:snapToGrid/>
                <w:color w:val="auto"/>
                <w:spacing w:val="0"/>
                <w:kern w:val="2"/>
                <w:sz w:val="21"/>
                <w:szCs w:val="22"/>
                <w:highlight w:val="none"/>
                <w:lang w:val="en-US" w:eastAsia="zh-CN" w:bidi="ar-SA"/>
              </w:rPr>
              <w:t>6</w:t>
            </w:r>
            <w:r>
              <w:rPr>
                <w:rFonts w:hint="default" w:ascii="Times New Roman" w:hAnsi="Times New Roman" w:eastAsia="宋体" w:cs="Times New Roman"/>
                <w:b/>
                <w:bCs/>
                <w:snapToGrid/>
                <w:color w:val="auto"/>
                <w:spacing w:val="0"/>
                <w:kern w:val="2"/>
                <w:sz w:val="21"/>
                <w:szCs w:val="22"/>
                <w:highlight w:val="none"/>
                <w:lang w:val="en-US" w:eastAsia="zh-CN" w:bidi="ar-SA"/>
              </w:rPr>
              <w:t xml:space="preserve">  </w:t>
            </w:r>
            <w:r>
              <w:rPr>
                <w:rFonts w:hint="default" w:ascii="Times New Roman" w:hAnsi="Times New Roman" w:cs="Times New Roman"/>
                <w:b/>
                <w:bCs/>
                <w:sz w:val="21"/>
                <w:szCs w:val="21"/>
              </w:rPr>
              <w:t>江苏省生态空间管控区域情况表</w:t>
            </w:r>
          </w:p>
          <w:tbl>
            <w:tblPr>
              <w:tblStyle w:val="17"/>
              <w:tblW w:w="49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1"/>
              <w:gridCol w:w="994"/>
              <w:gridCol w:w="1069"/>
              <w:gridCol w:w="2219"/>
              <w:gridCol w:w="1297"/>
              <w:gridCol w:w="847"/>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Merge w:val="restar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所在行政区域</w:t>
                  </w:r>
                </w:p>
              </w:tc>
              <w:tc>
                <w:tcPr>
                  <w:tcW w:w="608" w:type="pct"/>
                  <w:vMerge w:val="restar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生态保护红线名称</w:t>
                  </w:r>
                </w:p>
              </w:tc>
              <w:tc>
                <w:tcPr>
                  <w:tcW w:w="654" w:type="pct"/>
                  <w:vMerge w:val="restar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类型</w:t>
                  </w:r>
                </w:p>
              </w:tc>
              <w:tc>
                <w:tcPr>
                  <w:tcW w:w="2150" w:type="pct"/>
                  <w:gridSpan w:val="2"/>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范围</w:t>
                  </w:r>
                </w:p>
              </w:tc>
              <w:tc>
                <w:tcPr>
                  <w:tcW w:w="518" w:type="pct"/>
                  <w:vMerge w:val="restar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区域总面积平方公里</w:t>
                  </w:r>
                </w:p>
              </w:tc>
              <w:tc>
                <w:tcPr>
                  <w:tcW w:w="571" w:type="pct"/>
                  <w:vMerge w:val="restar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r>
                    <w:rPr>
                      <w:rFonts w:hint="default" w:ascii="Times New Roman" w:hAnsi="Times New Roman" w:cs="Times New Roman"/>
                      <w:b/>
                      <w:bCs/>
                      <w:sz w:val="18"/>
                      <w:szCs w:val="18"/>
                      <w:lang w:eastAsia="zh-CN"/>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Merge w:val="continue"/>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p>
              </w:tc>
              <w:tc>
                <w:tcPr>
                  <w:tcW w:w="608" w:type="pct"/>
                  <w:vMerge w:val="continue"/>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p>
              </w:tc>
              <w:tc>
                <w:tcPr>
                  <w:tcW w:w="654" w:type="pct"/>
                  <w:vMerge w:val="continue"/>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p>
              </w:tc>
              <w:tc>
                <w:tcPr>
                  <w:tcW w:w="1357" w:type="pc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lang w:eastAsia="zh-CN"/>
                    </w:rPr>
                    <w:t>国家级生态保护红线</w:t>
                  </w:r>
                </w:p>
              </w:tc>
              <w:tc>
                <w:tcPr>
                  <w:tcW w:w="792" w:type="pct"/>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val="en-US" w:eastAsia="zh-CN"/>
                    </w:rPr>
                  </w:pPr>
                  <w:r>
                    <w:rPr>
                      <w:rFonts w:hint="default" w:ascii="Times New Roman" w:hAnsi="Times New Roman" w:cs="Times New Roman"/>
                      <w:b/>
                      <w:bCs/>
                      <w:sz w:val="18"/>
                      <w:szCs w:val="18"/>
                    </w:rPr>
                    <w:t>生态空间管控区域范围</w:t>
                  </w:r>
                </w:p>
              </w:tc>
              <w:tc>
                <w:tcPr>
                  <w:tcW w:w="518" w:type="pct"/>
                  <w:vMerge w:val="continue"/>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p>
              </w:tc>
              <w:tc>
                <w:tcPr>
                  <w:tcW w:w="571" w:type="pct"/>
                  <w:vMerge w:val="continue"/>
                  <w:tcBorders>
                    <w:tl2br w:val="nil"/>
                    <w:tr2bl w:val="nil"/>
                  </w:tcBorders>
                  <w:noWrap w:val="0"/>
                  <w:vAlign w:val="center"/>
                </w:tcPr>
                <w:p>
                  <w:pPr>
                    <w:pStyle w:val="29"/>
                    <w:bidi w:val="0"/>
                    <w:spacing w:line="240" w:lineRule="auto"/>
                    <w:ind w:left="-63" w:leftChars="-30" w:right="-63" w:rightChars="-30"/>
                    <w:rPr>
                      <w:rFonts w:hint="default" w:ascii="Times New Roman" w:hAnsi="Times New Roman" w:cs="Times New Roman"/>
                      <w:b/>
                      <w:bCs/>
                      <w:sz w:val="18"/>
                      <w:szCs w:val="18"/>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Merge w:val="restar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苏州工业园区</w:t>
                  </w:r>
                </w:p>
              </w:tc>
              <w:tc>
                <w:tcPr>
                  <w:tcW w:w="60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阳澄湖（工业园区）重要湿地</w:t>
                  </w:r>
                </w:p>
              </w:tc>
              <w:tc>
                <w:tcPr>
                  <w:tcW w:w="654"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湿地生态系统保护</w:t>
                  </w:r>
                </w:p>
              </w:tc>
              <w:tc>
                <w:tcPr>
                  <w:tcW w:w="1357"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792"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阳澄湖水域及沿岸纵深1000m范围</w:t>
                  </w:r>
                </w:p>
              </w:tc>
              <w:tc>
                <w:tcPr>
                  <w:tcW w:w="51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68.2</w:t>
                  </w:r>
                </w:p>
              </w:tc>
              <w:tc>
                <w:tcPr>
                  <w:tcW w:w="942" w:type="dxa"/>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项目北</w:t>
                  </w:r>
                </w:p>
                <w:p>
                  <w:pPr>
                    <w:adjustRightInd w:val="0"/>
                    <w:snapToGrid w:val="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km（距湖体）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Merge w:val="continue"/>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p>
              </w:tc>
              <w:tc>
                <w:tcPr>
                  <w:tcW w:w="60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独墅湖重要湿地</w:t>
                  </w:r>
                </w:p>
              </w:tc>
              <w:tc>
                <w:tcPr>
                  <w:tcW w:w="654"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湿地生态系统保护</w:t>
                  </w:r>
                </w:p>
              </w:tc>
              <w:tc>
                <w:tcPr>
                  <w:tcW w:w="1357"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792"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独墅湖水体范围</w:t>
                  </w:r>
                </w:p>
              </w:tc>
              <w:tc>
                <w:tcPr>
                  <w:tcW w:w="51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9.08</w:t>
                  </w:r>
                </w:p>
              </w:tc>
              <w:tc>
                <w:tcPr>
                  <w:tcW w:w="942" w:type="dxa"/>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val="en-US" w:eastAsia="zh-CN"/>
                    </w:rPr>
                    <w:t>东</w:t>
                  </w:r>
                  <w:r>
                    <w:rPr>
                      <w:rFonts w:hint="default" w:ascii="Times New Roman" w:hAnsi="Times New Roman" w:cs="Times New Roman"/>
                      <w:color w:val="auto"/>
                      <w:sz w:val="18"/>
                      <w:szCs w:val="18"/>
                      <w:highlight w:val="none"/>
                    </w:rPr>
                    <w:t>南</w:t>
                  </w:r>
                </w:p>
                <w:p>
                  <w:pPr>
                    <w:adjustRightInd w:val="0"/>
                    <w:snapToGrid w:val="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3.9</w:t>
                  </w:r>
                  <w:r>
                    <w:rPr>
                      <w:rFonts w:hint="default" w:ascii="Times New Roman" w:hAnsi="Times New Roman" w:cs="Times New Roman"/>
                      <w:color w:val="auto"/>
                      <w:sz w:val="18"/>
                      <w:szCs w:val="18"/>
                      <w:highlight w:val="none"/>
                    </w:rPr>
                    <w:t>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Merge w:val="continue"/>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p>
              </w:tc>
              <w:tc>
                <w:tcPr>
                  <w:tcW w:w="60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金鸡湖重要湿地</w:t>
                  </w:r>
                </w:p>
              </w:tc>
              <w:tc>
                <w:tcPr>
                  <w:tcW w:w="654"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湿地生态系统保护</w:t>
                  </w:r>
                </w:p>
              </w:tc>
              <w:tc>
                <w:tcPr>
                  <w:tcW w:w="1357"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792"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金鸡湖水体范围</w:t>
                  </w:r>
                </w:p>
              </w:tc>
              <w:tc>
                <w:tcPr>
                  <w:tcW w:w="51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6.77</w:t>
                  </w:r>
                </w:p>
              </w:tc>
              <w:tc>
                <w:tcPr>
                  <w:tcW w:w="942" w:type="dxa"/>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val="en-US" w:eastAsia="zh-CN"/>
                    </w:rPr>
                    <w:t>东南1.2</w:t>
                  </w:r>
                  <w:r>
                    <w:rPr>
                      <w:rFonts w:hint="default" w:ascii="Times New Roman" w:hAnsi="Times New Roman" w:cs="Times New Roman"/>
                      <w:color w:val="auto"/>
                      <w:sz w:val="18"/>
                      <w:szCs w:val="18"/>
                      <w:highlight w:val="none"/>
                    </w:rPr>
                    <w:t>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pct"/>
                  <w:vMerge w:val="continue"/>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p>
              </w:tc>
              <w:tc>
                <w:tcPr>
                  <w:tcW w:w="60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阳澄湖苏州工业园区饮用水水源保护区</w:t>
                  </w:r>
                </w:p>
              </w:tc>
              <w:tc>
                <w:tcPr>
                  <w:tcW w:w="654"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水源水质保护</w:t>
                  </w:r>
                </w:p>
              </w:tc>
              <w:tc>
                <w:tcPr>
                  <w:tcW w:w="1357"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一级保护区：以园区阳澄湖水厂取水口（120°47′49″E，31°23′19″N）为中心，半径500米范围内的域。二级保护区：一级保护区外，外延2000米的水域及相对应的本岸背水坡堤脚外100米之间的陆域。准保护区：二级保护区外外延1000米的陆域。</w:t>
                  </w:r>
                </w:p>
              </w:tc>
              <w:tc>
                <w:tcPr>
                  <w:tcW w:w="792"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518" w:type="pct"/>
                  <w:tcBorders>
                    <w:tl2br w:val="nil"/>
                    <w:tr2bl w:val="nil"/>
                  </w:tcBorders>
                  <w:noWrap w:val="0"/>
                  <w:vAlign w:val="center"/>
                </w:tcPr>
                <w:p>
                  <w:pPr>
                    <w:pStyle w:val="30"/>
                    <w:bidi w:val="0"/>
                    <w:ind w:firstLine="0" w:firstLineChars="0"/>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28.31</w:t>
                  </w:r>
                </w:p>
              </w:tc>
              <w:tc>
                <w:tcPr>
                  <w:tcW w:w="942" w:type="dxa"/>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项目</w:t>
                  </w:r>
                  <w:r>
                    <w:rPr>
                      <w:rFonts w:hint="eastAsia" w:ascii="Times New Roman" w:hAnsi="Times New Roman" w:cs="Times New Roman"/>
                      <w:color w:val="auto"/>
                      <w:sz w:val="18"/>
                      <w:szCs w:val="18"/>
                      <w:highlight w:val="none"/>
                      <w:lang w:val="en-US" w:eastAsia="zh-CN"/>
                    </w:rPr>
                    <w:t>东</w:t>
                  </w:r>
                  <w:r>
                    <w:rPr>
                      <w:rFonts w:hint="default" w:ascii="Times New Roman" w:hAnsi="Times New Roman" w:cs="Times New Roman"/>
                      <w:color w:val="auto"/>
                      <w:sz w:val="18"/>
                      <w:szCs w:val="18"/>
                      <w:highlight w:val="none"/>
                    </w:rPr>
                    <w:t>北</w:t>
                  </w:r>
                  <w:r>
                    <w:rPr>
                      <w:rFonts w:hint="eastAsia" w:ascii="Times New Roman" w:hAnsi="Times New Roman" w:cs="Times New Roman"/>
                      <w:color w:val="auto"/>
                      <w:sz w:val="18"/>
                      <w:szCs w:val="18"/>
                      <w:highlight w:val="none"/>
                      <w:lang w:val="en-US" w:eastAsia="zh-CN"/>
                    </w:rPr>
                    <w:t>10</w:t>
                  </w: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4</w:t>
                  </w:r>
                  <w:r>
                    <w:rPr>
                      <w:rFonts w:hint="default" w:ascii="Times New Roman" w:hAnsi="Times New Roman" w:cs="Times New Roman"/>
                      <w:color w:val="auto"/>
                      <w:sz w:val="18"/>
                      <w:szCs w:val="18"/>
                      <w:highlight w:val="none"/>
                    </w:rPr>
                    <w:t>km</w:t>
                  </w:r>
                </w:p>
              </w:tc>
            </w:tr>
          </w:tbl>
          <w:p>
            <w:pPr>
              <w:pStyle w:val="29"/>
              <w:adjustRightInd w:val="0"/>
              <w:snapToGrid w:val="0"/>
              <w:spacing w:beforeLines="50" w:line="360" w:lineRule="auto"/>
              <w:ind w:firstLine="420" w:firstLineChars="200"/>
              <w:jc w:val="both"/>
            </w:pPr>
            <w:r>
              <w:rPr>
                <w:rFonts w:hint="default" w:ascii="Times New Roman" w:hAnsi="Times New Roman" w:eastAsia="宋体" w:cs="Times New Roman"/>
                <w:b w:val="0"/>
                <w:bCs w:val="0"/>
                <w:color w:val="auto"/>
                <w:kern w:val="2"/>
                <w:sz w:val="21"/>
                <w:szCs w:val="21"/>
                <w:highlight w:val="none"/>
                <w:lang w:val="en-US" w:eastAsia="zh-CN" w:bidi="ar-SA"/>
              </w:rPr>
              <w:t>本项目距离独墅湖重要湿地（生态空间管控区域范围：独墅湖水体范围）约</w:t>
            </w:r>
            <w:r>
              <w:rPr>
                <w:rFonts w:hint="eastAsia" w:ascii="Times New Roman" w:hAnsi="Times New Roman" w:cs="Times New Roman"/>
                <w:b w:val="0"/>
                <w:bCs w:val="0"/>
                <w:color w:val="auto"/>
                <w:kern w:val="2"/>
                <w:sz w:val="21"/>
                <w:szCs w:val="21"/>
                <w:highlight w:val="none"/>
                <w:lang w:val="en-US" w:eastAsia="zh-CN" w:bidi="ar-SA"/>
              </w:rPr>
              <w:t>3.9</w:t>
            </w:r>
            <w:r>
              <w:rPr>
                <w:rFonts w:hint="default" w:ascii="Times New Roman" w:hAnsi="Times New Roman" w:eastAsia="宋体" w:cs="Times New Roman"/>
                <w:b w:val="0"/>
                <w:bCs w:val="0"/>
                <w:color w:val="auto"/>
                <w:kern w:val="2"/>
                <w:sz w:val="21"/>
                <w:szCs w:val="21"/>
                <w:highlight w:val="none"/>
                <w:lang w:val="en-US" w:eastAsia="zh-CN" w:bidi="ar-SA"/>
              </w:rPr>
              <w:t>km，距离金鸡湖重要湿地（生态空间管控区域范围：金鸡湖水体范围）约</w:t>
            </w:r>
            <w:r>
              <w:rPr>
                <w:rFonts w:hint="eastAsia" w:ascii="Times New Roman" w:hAnsi="Times New Roman" w:cs="Times New Roman"/>
                <w:b w:val="0"/>
                <w:bCs w:val="0"/>
                <w:color w:val="auto"/>
                <w:kern w:val="2"/>
                <w:sz w:val="21"/>
                <w:szCs w:val="21"/>
                <w:highlight w:val="none"/>
                <w:lang w:val="en-US" w:eastAsia="zh-CN" w:bidi="ar-SA"/>
              </w:rPr>
              <w:t>1.2</w:t>
            </w:r>
            <w:r>
              <w:rPr>
                <w:rFonts w:hint="default" w:ascii="Times New Roman" w:hAnsi="Times New Roman" w:eastAsia="宋体" w:cs="Times New Roman"/>
                <w:b w:val="0"/>
                <w:bCs w:val="0"/>
                <w:color w:val="auto"/>
                <w:kern w:val="2"/>
                <w:sz w:val="21"/>
                <w:szCs w:val="21"/>
                <w:highlight w:val="none"/>
                <w:lang w:val="en-US" w:eastAsia="zh-CN" w:bidi="ar-SA"/>
              </w:rPr>
              <w:t>km，距离阳澄湖（工业园区）重要湿地约</w:t>
            </w:r>
            <w:r>
              <w:rPr>
                <w:rFonts w:hint="eastAsia" w:ascii="Times New Roman" w:hAnsi="Times New Roman" w:cs="Times New Roman"/>
                <w:b w:val="0"/>
                <w:bCs w:val="0"/>
                <w:color w:val="auto"/>
                <w:kern w:val="2"/>
                <w:sz w:val="21"/>
                <w:szCs w:val="21"/>
                <w:highlight w:val="none"/>
                <w:lang w:val="en-US" w:eastAsia="zh-CN" w:bidi="ar-SA"/>
              </w:rPr>
              <w:t>3.1</w:t>
            </w:r>
            <w:r>
              <w:rPr>
                <w:rFonts w:hint="default" w:ascii="Times New Roman" w:hAnsi="Times New Roman" w:eastAsia="宋体" w:cs="Times New Roman"/>
                <w:b w:val="0"/>
                <w:bCs w:val="0"/>
                <w:color w:val="auto"/>
                <w:kern w:val="2"/>
                <w:sz w:val="21"/>
                <w:szCs w:val="21"/>
                <w:highlight w:val="none"/>
                <w:lang w:val="en-US" w:eastAsia="zh-CN" w:bidi="ar-SA"/>
              </w:rPr>
              <w:t>km，距离阳澄湖苏州工业园区饮用水水源保护区取水口</w:t>
            </w:r>
            <w:r>
              <w:rPr>
                <w:rFonts w:hint="eastAsia" w:ascii="Times New Roman" w:hAnsi="Times New Roman" w:cs="Times New Roman"/>
                <w:b w:val="0"/>
                <w:bCs w:val="0"/>
                <w:color w:val="auto"/>
                <w:kern w:val="2"/>
                <w:sz w:val="21"/>
                <w:szCs w:val="21"/>
                <w:highlight w:val="none"/>
                <w:lang w:val="en-US" w:eastAsia="zh-CN" w:bidi="ar-SA"/>
              </w:rPr>
              <w:t>10.4</w:t>
            </w:r>
            <w:r>
              <w:rPr>
                <w:rFonts w:hint="default" w:ascii="Times New Roman" w:hAnsi="Times New Roman" w:eastAsia="宋体" w:cs="Times New Roman"/>
                <w:b w:val="0"/>
                <w:bCs w:val="0"/>
                <w:color w:val="auto"/>
                <w:kern w:val="2"/>
                <w:sz w:val="21"/>
                <w:szCs w:val="21"/>
                <w:highlight w:val="none"/>
                <w:lang w:val="en-US" w:eastAsia="zh-CN" w:bidi="ar-SA"/>
              </w:rPr>
              <w:t>km，不在其保护范围内。符合《省政府关于印发江苏省生态空间管控区域规划的通知（苏政发〔2020〕1号）》。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trPr>
        <w:tc>
          <w:tcPr>
            <w:tcW w:w="556"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434" w:type="dxa"/>
            <w:noWrap w:val="0"/>
            <w:vAlign w:val="top"/>
          </w:tcPr>
          <w:p>
            <w:pPr>
              <w:adjustRightInd w:val="0"/>
              <w:snapToGrid w:val="0"/>
              <w:spacing w:line="360" w:lineRule="auto"/>
              <w:rPr>
                <w:rFonts w:hint="eastAsia" w:ascii="Times New Roman" w:hAnsi="Times New Roman" w:eastAsia="宋体" w:cs="Times New Roman"/>
                <w:sz w:val="21"/>
                <w:szCs w:val="21"/>
                <w:lang w:val="en-US" w:eastAsia="zh-CN"/>
              </w:rPr>
            </w:pPr>
            <w:r>
              <w:rPr>
                <w:rFonts w:hint="default" w:ascii="Times New Roman" w:hAnsi="Times New Roman" w:cs="Times New Roman"/>
                <w:b/>
                <w:bCs/>
                <w:sz w:val="21"/>
                <w:szCs w:val="21"/>
              </w:rPr>
              <w:t>废气：</w:t>
            </w:r>
            <w:r>
              <w:rPr>
                <w:rFonts w:hint="default" w:ascii="Times New Roman" w:hAnsi="Times New Roman" w:eastAsia="宋体" w:cs="Times New Roman"/>
                <w:sz w:val="21"/>
                <w:szCs w:val="21"/>
              </w:rPr>
              <w:t>本项目</w:t>
            </w:r>
            <w:r>
              <w:rPr>
                <w:rFonts w:hint="eastAsia" w:cs="Times New Roman"/>
                <w:sz w:val="21"/>
                <w:szCs w:val="21"/>
                <w:lang w:eastAsia="zh-CN"/>
              </w:rPr>
              <w:t>废气执行《合成树脂工业污染物排放标准》（</w:t>
            </w:r>
            <w:r>
              <w:rPr>
                <w:rFonts w:hint="eastAsia" w:cs="Times New Roman"/>
                <w:sz w:val="21"/>
                <w:szCs w:val="21"/>
                <w:lang w:val="en-US" w:eastAsia="zh-CN"/>
              </w:rPr>
              <w:t>GB31572-2015</w:t>
            </w:r>
            <w:r>
              <w:rPr>
                <w:rFonts w:hint="eastAsia" w:cs="Times New Roman"/>
                <w:sz w:val="21"/>
                <w:szCs w:val="21"/>
                <w:lang w:eastAsia="zh-CN"/>
              </w:rPr>
              <w:t>）标准</w:t>
            </w:r>
            <w:r>
              <w:rPr>
                <w:rFonts w:hint="eastAsia" w:cs="Times New Roman"/>
                <w:b w:val="0"/>
                <w:bCs w:val="0"/>
                <w:color w:val="auto"/>
                <w:sz w:val="21"/>
                <w:szCs w:val="21"/>
                <w:highlight w:val="none"/>
                <w:lang w:val="en-US" w:eastAsia="zh-CN"/>
              </w:rPr>
              <w:t>和《大气污染物综合排放标准》（</w:t>
            </w:r>
            <w:r>
              <w:rPr>
                <w:rFonts w:hint="default" w:ascii="Times New Roman" w:hAnsi="Times New Roman" w:eastAsia="宋体" w:cs="Times New Roman"/>
                <w:b w:val="0"/>
                <w:bCs/>
                <w:color w:val="auto"/>
                <w:sz w:val="21"/>
                <w:szCs w:val="21"/>
                <w:highlight w:val="none"/>
                <w:lang w:val="en-US" w:eastAsia="zh-CN"/>
              </w:rPr>
              <w:t>DB</w:t>
            </w:r>
            <w:r>
              <w:rPr>
                <w:rFonts w:hint="eastAsia" w:ascii="Times New Roman" w:hAnsi="Times New Roman" w:eastAsia="宋体" w:cs="Times New Roman"/>
                <w:b w:val="0"/>
                <w:bCs/>
                <w:color w:val="auto"/>
                <w:sz w:val="21"/>
                <w:szCs w:val="21"/>
                <w:highlight w:val="none"/>
                <w:lang w:val="en-US" w:eastAsia="zh-CN"/>
              </w:rPr>
              <w:t>32</w:t>
            </w:r>
            <w:r>
              <w:rPr>
                <w:rFonts w:hint="default" w:ascii="Times New Roman" w:hAnsi="Times New Roman" w:eastAsia="宋体" w:cs="Times New Roman"/>
                <w:b w:val="0"/>
                <w:bCs/>
                <w:color w:val="auto"/>
                <w:sz w:val="21"/>
                <w:szCs w:val="21"/>
                <w:highlight w:val="none"/>
                <w:lang w:val="en-US" w:eastAsia="zh-CN"/>
              </w:rPr>
              <w:t>/4041</w:t>
            </w:r>
            <w:r>
              <w:rPr>
                <w:rFonts w:hint="eastAsia"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2021</w:t>
            </w:r>
            <w:r>
              <w:rPr>
                <w:rFonts w:hint="eastAsia" w:cs="Times New Roman"/>
                <w:b w:val="0"/>
                <w:bCs w:val="0"/>
                <w:color w:val="auto"/>
                <w:sz w:val="21"/>
                <w:szCs w:val="21"/>
                <w:highlight w:val="none"/>
                <w:lang w:val="en-US" w:eastAsia="zh-CN"/>
              </w:rPr>
              <w:t>）</w:t>
            </w:r>
            <w:r>
              <w:rPr>
                <w:rFonts w:hint="eastAsia" w:cs="Times New Roman"/>
                <w:sz w:val="21"/>
                <w:szCs w:val="21"/>
                <w:lang w:eastAsia="zh-CN"/>
              </w:rPr>
              <w:t>。</w:t>
            </w:r>
            <w:r>
              <w:rPr>
                <w:rFonts w:hint="default" w:ascii="Times New Roman" w:hAnsi="Times New Roman" w:eastAsia="宋体" w:cs="Times New Roman"/>
                <w:color w:val="000000"/>
                <w:sz w:val="21"/>
                <w:szCs w:val="21"/>
              </w:rPr>
              <w:t>厂区内非甲烷总烃执行</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大气污染物综合排放标准</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DB32/4041-2021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表2</w:t>
            </w:r>
            <w:r>
              <w:rPr>
                <w:rFonts w:hint="default" w:ascii="Times New Roman" w:hAnsi="Times New Roman" w:eastAsia="宋体" w:cs="Times New Roman"/>
                <w:color w:val="000000"/>
                <w:sz w:val="21"/>
                <w:szCs w:val="21"/>
              </w:rPr>
              <w:t>排放限值</w:t>
            </w:r>
            <w:r>
              <w:rPr>
                <w:rFonts w:hint="default" w:ascii="Times New Roman" w:hAnsi="Times New Roman" w:cs="Times New Roman"/>
                <w:color w:val="auto"/>
                <w:sz w:val="21"/>
                <w:szCs w:val="21"/>
              </w:rPr>
              <w:t>。</w:t>
            </w:r>
          </w:p>
          <w:p>
            <w:pPr>
              <w:pStyle w:val="29"/>
              <w:adjustRightInd w:val="0"/>
              <w:snapToGrid w:val="0"/>
              <w:spacing w:line="240" w:lineRule="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表</w:t>
            </w:r>
            <w:r>
              <w:rPr>
                <w:rFonts w:hint="eastAsia" w:ascii="Times New Roman" w:hAnsi="Times New Roman" w:cs="Times New Roman"/>
                <w:b/>
                <w:bCs/>
                <w:sz w:val="21"/>
                <w:szCs w:val="21"/>
                <w:highlight w:val="none"/>
                <w:lang w:val="en-US" w:eastAsia="zh-CN"/>
              </w:rPr>
              <w:t>3</w:t>
            </w:r>
            <w:r>
              <w:rPr>
                <w:rFonts w:hint="default" w:ascii="Times New Roman" w:hAnsi="Times New Roman" w:cs="Times New Roman"/>
                <w:b/>
                <w:bCs/>
                <w:sz w:val="21"/>
                <w:szCs w:val="21"/>
                <w:highlight w:val="none"/>
              </w:rPr>
              <w:t>-</w:t>
            </w:r>
            <w:r>
              <w:rPr>
                <w:rFonts w:hint="eastAsia" w:ascii="Times New Roman" w:hAnsi="Times New Roman" w:cs="Times New Roman"/>
                <w:b/>
                <w:bCs/>
                <w:sz w:val="21"/>
                <w:szCs w:val="21"/>
                <w:highlight w:val="none"/>
                <w:lang w:val="en-US" w:eastAsia="zh-CN"/>
              </w:rPr>
              <w:t xml:space="preserve">7 </w:t>
            </w:r>
            <w:r>
              <w:rPr>
                <w:rFonts w:hint="default"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大气污染物排放标准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7"/>
              <w:gridCol w:w="685"/>
              <w:gridCol w:w="846"/>
              <w:gridCol w:w="1047"/>
              <w:gridCol w:w="1084"/>
              <w:gridCol w:w="785"/>
              <w:gridCol w:w="1027"/>
              <w:gridCol w:w="1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工序</w:t>
                  </w:r>
                </w:p>
              </w:tc>
              <w:tc>
                <w:tcPr>
                  <w:tcW w:w="4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污染物</w:t>
                  </w:r>
                </w:p>
              </w:tc>
              <w:tc>
                <w:tcPr>
                  <w:tcW w:w="51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排气筒高度m</w:t>
                  </w:r>
                </w:p>
              </w:tc>
              <w:tc>
                <w:tcPr>
                  <w:tcW w:w="12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最高容许排放标准</w:t>
                  </w:r>
                </w:p>
              </w:tc>
              <w:tc>
                <w:tcPr>
                  <w:tcW w:w="110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无组织排放监控浓度限值</w:t>
                  </w:r>
                </w:p>
              </w:tc>
              <w:tc>
                <w:tcPr>
                  <w:tcW w:w="118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c>
                <w:tcPr>
                  <w:tcW w:w="4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c>
                <w:tcPr>
                  <w:tcW w:w="5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c>
                <w:tcPr>
                  <w:tcW w:w="637"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浓度（mg/m</w:t>
                  </w:r>
                  <w:r>
                    <w:rPr>
                      <w:rFonts w:hint="default" w:ascii="Times New Roman" w:hAnsi="Times New Roman" w:eastAsia="宋体" w:cs="Times New Roman"/>
                      <w:b/>
                      <w:bCs/>
                      <w:sz w:val="18"/>
                      <w:szCs w:val="18"/>
                      <w:vertAlign w:val="superscript"/>
                    </w:rPr>
                    <w:t>3</w:t>
                  </w:r>
                  <w:r>
                    <w:rPr>
                      <w:rFonts w:hint="default" w:ascii="Times New Roman" w:hAnsi="Times New Roman" w:eastAsia="宋体" w:cs="Times New Roman"/>
                      <w:b/>
                      <w:bCs/>
                      <w:sz w:val="18"/>
                      <w:szCs w:val="18"/>
                    </w:rPr>
                    <w:t>）</w:t>
                  </w:r>
                </w:p>
              </w:tc>
              <w:tc>
                <w:tcPr>
                  <w:tcW w:w="659" w:type="pct"/>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最高允许排放速率（kg/h)</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lang w:eastAsia="zh-CN"/>
                    </w:rPr>
                  </w:pPr>
                  <w:r>
                    <w:rPr>
                      <w:rFonts w:hint="default" w:ascii="Times New Roman" w:hAnsi="Times New Roman" w:eastAsia="宋体" w:cs="Times New Roman"/>
                      <w:b/>
                      <w:bCs/>
                      <w:sz w:val="18"/>
                      <w:szCs w:val="18"/>
                      <w:lang w:eastAsia="zh-CN"/>
                    </w:rPr>
                    <w:t>监控点</w:t>
                  </w:r>
                </w:p>
              </w:tc>
              <w:tc>
                <w:tcPr>
                  <w:tcW w:w="625"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eastAsia="zh-CN"/>
                    </w:rPr>
                    <w:t>浓度</w:t>
                  </w:r>
                  <w:r>
                    <w:rPr>
                      <w:rFonts w:hint="default" w:ascii="Times New Roman" w:hAnsi="Times New Roman" w:eastAsia="宋体" w:cs="Times New Roman"/>
                      <w:b/>
                      <w:bCs/>
                      <w:sz w:val="18"/>
                      <w:szCs w:val="18"/>
                    </w:rPr>
                    <w:t>（mg/m</w:t>
                  </w:r>
                  <w:r>
                    <w:rPr>
                      <w:rFonts w:hint="default" w:ascii="Times New Roman" w:hAnsi="Times New Roman" w:eastAsia="宋体" w:cs="Times New Roman"/>
                      <w:b/>
                      <w:bCs/>
                      <w:sz w:val="18"/>
                      <w:szCs w:val="18"/>
                      <w:vertAlign w:val="superscript"/>
                    </w:rPr>
                    <w:t>3</w:t>
                  </w:r>
                  <w:r>
                    <w:rPr>
                      <w:rFonts w:hint="default" w:ascii="Times New Roman" w:hAnsi="Times New Roman" w:eastAsia="宋体" w:cs="Times New Roman"/>
                      <w:b/>
                      <w:bCs/>
                      <w:sz w:val="18"/>
                      <w:szCs w:val="18"/>
                    </w:rPr>
                    <w:t>）</w:t>
                  </w:r>
                </w:p>
              </w:tc>
              <w:tc>
                <w:tcPr>
                  <w:tcW w:w="118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noWrap w:val="0"/>
                  <w:vAlign w:val="center"/>
                </w:tcPr>
                <w:p>
                  <w:pPr>
                    <w:widowControl/>
                    <w:spacing w:line="240" w:lineRule="auto"/>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eastAsia="zh-CN"/>
                    </w:rPr>
                    <w:t>注塑成型</w:t>
                  </w:r>
                </w:p>
              </w:tc>
              <w:tc>
                <w:tcPr>
                  <w:tcW w:w="416" w:type="pct"/>
                  <w:noWrap w:val="0"/>
                  <w:vAlign w:val="center"/>
                </w:tcPr>
                <w:p>
                  <w:pPr>
                    <w:widowControl/>
                    <w:spacing w:line="240" w:lineRule="auto"/>
                    <w:jc w:val="center"/>
                    <w:textAlignment w:val="center"/>
                    <w:rPr>
                      <w:rFonts w:hint="default" w:ascii="Times New Roman" w:hAnsi="Times New Roman" w:eastAsia="宋体" w:cs="Times New Roman"/>
                      <w:sz w:val="18"/>
                      <w:szCs w:val="18"/>
                    </w:rPr>
                  </w:pPr>
                  <w:r>
                    <w:rPr>
                      <w:rFonts w:hint="default" w:ascii="Times New Roman" w:hAnsi="Times New Roman" w:cs="Times New Roman"/>
                      <w:sz w:val="18"/>
                      <w:szCs w:val="18"/>
                    </w:rPr>
                    <w:t>非甲烷总烃</w:t>
                  </w:r>
                </w:p>
              </w:tc>
              <w:tc>
                <w:tcPr>
                  <w:tcW w:w="514"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c>
              <w:tc>
                <w:tcPr>
                  <w:tcW w:w="637"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60</w:t>
                  </w:r>
                </w:p>
              </w:tc>
              <w:tc>
                <w:tcPr>
                  <w:tcW w:w="659"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周界外浓度最高点</w:t>
                  </w:r>
                </w:p>
              </w:tc>
              <w:tc>
                <w:tcPr>
                  <w:tcW w:w="625"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4.0</w:t>
                  </w:r>
                </w:p>
              </w:tc>
              <w:tc>
                <w:tcPr>
                  <w:tcW w:w="1183" w:type="pc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eastAsia" w:ascii="Times New Roman" w:hAnsi="Times New Roman" w:eastAsia="宋体"/>
                      <w:sz w:val="18"/>
                      <w:szCs w:val="18"/>
                    </w:rPr>
                    <w:t>《合成树脂工业污染物排放标准》（G</w:t>
                  </w:r>
                  <w:r>
                    <w:rPr>
                      <w:rFonts w:ascii="Times New Roman" w:hAnsi="Times New Roman" w:eastAsia="宋体"/>
                      <w:sz w:val="18"/>
                      <w:szCs w:val="18"/>
                    </w:rPr>
                    <w:t>B 31572-2015</w:t>
                  </w:r>
                  <w:r>
                    <w:rPr>
                      <w:rFonts w:hint="eastAsia" w:ascii="Times New Roman" w:hAnsi="Times New Roman" w:eastAsia="宋体"/>
                      <w:sz w:val="18"/>
                      <w:szCs w:val="18"/>
                    </w:rPr>
                    <w:t>）表5、表9相应标准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厂区内</w:t>
                  </w:r>
                </w:p>
              </w:tc>
              <w:tc>
                <w:tcPr>
                  <w:tcW w:w="4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非甲烷总烃</w:t>
                  </w:r>
                </w:p>
              </w:tc>
              <w:tc>
                <w:tcPr>
                  <w:tcW w:w="51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在厂房外设置监控点</w:t>
                  </w:r>
                </w:p>
              </w:tc>
              <w:tc>
                <w:tcPr>
                  <w:tcW w:w="2399"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6（监控点处1h平均浓度值）</w:t>
                  </w:r>
                </w:p>
              </w:tc>
              <w:tc>
                <w:tcPr>
                  <w:tcW w:w="118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大气污染物综合排放标准</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DB32/4041-2021</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表2</w:t>
                  </w:r>
                  <w:r>
                    <w:rPr>
                      <w:rFonts w:hint="default" w:ascii="Times New Roman" w:hAnsi="Times New Roman" w:eastAsia="宋体" w:cs="Times New Roman"/>
                      <w:color w:val="000000"/>
                      <w:sz w:val="18"/>
                      <w:szCs w:val="18"/>
                    </w:rPr>
                    <w:t>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c>
                <w:tcPr>
                  <w:tcW w:w="4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c>
                <w:tcPr>
                  <w:tcW w:w="51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lang w:val="en-US" w:eastAsia="zh-CN"/>
                    </w:rPr>
                  </w:pPr>
                </w:p>
              </w:tc>
              <w:tc>
                <w:tcPr>
                  <w:tcW w:w="2399"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20（监控点处任意一次浓度值）</w:t>
                  </w:r>
                </w:p>
              </w:tc>
              <w:tc>
                <w:tcPr>
                  <w:tcW w:w="118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left"/>
                    <w:textAlignment w:val="auto"/>
                    <w:rPr>
                      <w:rFonts w:hint="default" w:ascii="Times New Roman" w:hAnsi="Times New Roman" w:eastAsia="宋体" w:cs="Times New Roman"/>
                      <w:sz w:val="18"/>
                      <w:szCs w:val="18"/>
                    </w:rPr>
                  </w:pPr>
                  <w:r>
                    <w:rPr>
                      <w:rFonts w:hint="eastAsia" w:ascii="Times New Roman" w:hAnsi="Times New Roman" w:eastAsia="宋体"/>
                      <w:sz w:val="18"/>
                      <w:szCs w:val="18"/>
                    </w:rPr>
                    <w:t>单位产品非甲烷总烃排放量限值：0.3kg/t产品。</w:t>
                  </w:r>
                </w:p>
              </w:tc>
            </w:tr>
          </w:tbl>
          <w:p>
            <w:pPr>
              <w:rPr>
                <w:rFonts w:hint="default"/>
              </w:rPr>
            </w:pPr>
          </w:p>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b/>
                <w:bCs/>
                <w:sz w:val="21"/>
                <w:szCs w:val="21"/>
              </w:rPr>
              <w:t>废水：</w:t>
            </w:r>
            <w:r>
              <w:rPr>
                <w:rFonts w:hint="default" w:ascii="Times New Roman" w:hAnsi="Times New Roman" w:cs="Times New Roman"/>
                <w:sz w:val="21"/>
                <w:szCs w:val="21"/>
              </w:rPr>
              <w:t>项目废水排放执行《污水综合排放标准》（GB8978-1996）表4三级标准和《污水排入城镇下水道水质标准》（GB/T 31962-2015）表1中B级标准，</w:t>
            </w:r>
            <w:r>
              <w:rPr>
                <w:rFonts w:hint="default" w:ascii="Times New Roman" w:hAnsi="Times New Roman" w:eastAsia="宋体" w:cs="Times New Roman"/>
                <w:b w:val="0"/>
                <w:bCs w:val="0"/>
                <w:color w:val="auto"/>
                <w:sz w:val="21"/>
                <w:szCs w:val="21"/>
                <w:highlight w:val="none"/>
                <w:lang w:val="en-US" w:eastAsia="zh-CN"/>
              </w:rPr>
              <w:t>园区污水处理厂尾水排放执行《关于高质量推进城乡生活污水治理三年行动计划的实施意见》（苏委办发〔2018〕77号）中的“苏州特别排放限值”，（苏委办发〔2018〕77号）未作规定的项目执行《城镇污水处理厂污染物排放标准》（GB18918-2002）中表1一级A标准。</w:t>
            </w:r>
          </w:p>
          <w:p>
            <w:pPr>
              <w:pStyle w:val="29"/>
              <w:adjustRightInd w:val="0"/>
              <w:snapToGrid w:val="0"/>
              <w:spacing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 xml:space="preserve">8 </w:t>
            </w:r>
            <w:r>
              <w:rPr>
                <w:rFonts w:hint="default" w:ascii="Times New Roman" w:hAnsi="Times New Roman" w:cs="Times New Roman"/>
                <w:b/>
                <w:bCs/>
                <w:sz w:val="21"/>
                <w:szCs w:val="21"/>
              </w:rPr>
              <w:t xml:space="preserve"> 水污染物排放标准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81"/>
              <w:gridCol w:w="2228"/>
              <w:gridCol w:w="1443"/>
              <w:gridCol w:w="1642"/>
              <w:gridCol w:w="192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tcMar>
                    <w:left w:w="0" w:type="dxa"/>
                    <w:right w:w="0" w:type="dxa"/>
                  </w:tcMar>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排放口名称</w:t>
                  </w:r>
                </w:p>
              </w:tc>
              <w:tc>
                <w:tcPr>
                  <w:tcW w:w="1355" w:type="pct"/>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执行标准</w:t>
                  </w:r>
                </w:p>
              </w:tc>
              <w:tc>
                <w:tcPr>
                  <w:tcW w:w="878" w:type="pct"/>
                  <w:tcMar>
                    <w:left w:w="0" w:type="dxa"/>
                    <w:right w:w="0" w:type="dxa"/>
                  </w:tcMar>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取值表号及级别</w:t>
                  </w:r>
                </w:p>
              </w:tc>
              <w:tc>
                <w:tcPr>
                  <w:tcW w:w="999" w:type="pct"/>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污染物指标</w:t>
                  </w:r>
                </w:p>
              </w:tc>
              <w:tc>
                <w:tcPr>
                  <w:tcW w:w="1168" w:type="pct"/>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最高允许排放浓度（mg/L）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restart"/>
                  <w:tcMar>
                    <w:left w:w="0" w:type="dxa"/>
                    <w:right w:w="0" w:type="dxa"/>
                  </w:tcMar>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厂排口</w:t>
                  </w:r>
                </w:p>
              </w:tc>
              <w:tc>
                <w:tcPr>
                  <w:tcW w:w="1355" w:type="pct"/>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《污水综合排放标准》（GB8978-1996）</w:t>
                  </w:r>
                </w:p>
              </w:tc>
              <w:tc>
                <w:tcPr>
                  <w:tcW w:w="878" w:type="pct"/>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表4三级标准</w:t>
                  </w: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pH（无量纲）</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continue"/>
                  <w:vAlign w:val="center"/>
                </w:tcPr>
                <w:p>
                  <w:pPr>
                    <w:adjustRightInd w:val="0"/>
                    <w:snapToGrid w:val="0"/>
                    <w:jc w:val="center"/>
                    <w:rPr>
                      <w:rFonts w:hint="default" w:ascii="Times New Roman" w:hAnsi="Times New Roman" w:cs="Times New Roman"/>
                      <w:sz w:val="18"/>
                      <w:szCs w:val="18"/>
                    </w:rPr>
                  </w:pPr>
                </w:p>
              </w:tc>
              <w:tc>
                <w:tcPr>
                  <w:tcW w:w="878" w:type="pct"/>
                  <w:vMerge w:val="continue"/>
                  <w:vAlign w:val="center"/>
                </w:tcPr>
                <w:p>
                  <w:pPr>
                    <w:adjustRightInd w:val="0"/>
                    <w:snapToGrid w:val="0"/>
                    <w:jc w:val="center"/>
                    <w:rPr>
                      <w:rFonts w:hint="default" w:ascii="Times New Roman" w:hAnsi="Times New Roman" w:cs="Times New Roman"/>
                      <w:sz w:val="18"/>
                      <w:szCs w:val="18"/>
                    </w:rPr>
                  </w:pP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continue"/>
                  <w:tcBorders>
                    <w:bottom w:val="single" w:color="000000" w:sz="4" w:space="0"/>
                  </w:tcBorders>
                  <w:vAlign w:val="center"/>
                </w:tcPr>
                <w:p>
                  <w:pPr>
                    <w:adjustRightInd w:val="0"/>
                    <w:snapToGrid w:val="0"/>
                    <w:jc w:val="center"/>
                    <w:rPr>
                      <w:rFonts w:hint="default" w:ascii="Times New Roman" w:hAnsi="Times New Roman" w:cs="Times New Roman"/>
                      <w:sz w:val="18"/>
                      <w:szCs w:val="18"/>
                    </w:rPr>
                  </w:pPr>
                </w:p>
              </w:tc>
              <w:tc>
                <w:tcPr>
                  <w:tcW w:w="878" w:type="pct"/>
                  <w:vMerge w:val="continue"/>
                  <w:tcBorders>
                    <w:bottom w:val="single" w:color="000000" w:sz="4" w:space="0"/>
                  </w:tcBorders>
                  <w:vAlign w:val="center"/>
                </w:tcPr>
                <w:p>
                  <w:pPr>
                    <w:adjustRightInd w:val="0"/>
                    <w:snapToGrid w:val="0"/>
                    <w:jc w:val="center"/>
                    <w:rPr>
                      <w:rFonts w:hint="default" w:ascii="Times New Roman" w:hAnsi="Times New Roman" w:cs="Times New Roman"/>
                      <w:sz w:val="18"/>
                      <w:szCs w:val="18"/>
                    </w:rPr>
                  </w:pPr>
                </w:p>
              </w:tc>
              <w:tc>
                <w:tcPr>
                  <w:tcW w:w="999" w:type="pct"/>
                  <w:tcBorders>
                    <w:bottom w:val="single" w:color="000000"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SS</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400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restart"/>
                  <w:tcBorders>
                    <w:top w:val="single" w:color="000000"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《污水排入城镇下水道水质标准》(GB/T 31962-2015)</w:t>
                  </w:r>
                </w:p>
              </w:tc>
              <w:tc>
                <w:tcPr>
                  <w:tcW w:w="878" w:type="pct"/>
                  <w:vMerge w:val="restart"/>
                  <w:tcBorders>
                    <w:top w:val="single" w:color="000000"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表1 B级标准</w:t>
                  </w:r>
                </w:p>
              </w:tc>
              <w:tc>
                <w:tcPr>
                  <w:tcW w:w="999" w:type="pct"/>
                  <w:tcBorders>
                    <w:top w:val="single" w:color="000000" w:sz="4" w:space="0"/>
                    <w:bottom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continue"/>
                  <w:vAlign w:val="center"/>
                </w:tcPr>
                <w:p>
                  <w:pPr>
                    <w:adjustRightInd w:val="0"/>
                    <w:snapToGrid w:val="0"/>
                    <w:jc w:val="center"/>
                    <w:rPr>
                      <w:rFonts w:hint="default" w:ascii="Times New Roman" w:hAnsi="Times New Roman" w:cs="Times New Roman"/>
                      <w:sz w:val="18"/>
                      <w:szCs w:val="18"/>
                    </w:rPr>
                  </w:pPr>
                </w:p>
              </w:tc>
              <w:tc>
                <w:tcPr>
                  <w:tcW w:w="878" w:type="pct"/>
                  <w:vMerge w:val="continue"/>
                  <w:vAlign w:val="center"/>
                </w:tcPr>
                <w:p>
                  <w:pPr>
                    <w:adjustRightInd w:val="0"/>
                    <w:snapToGrid w:val="0"/>
                    <w:jc w:val="center"/>
                    <w:rPr>
                      <w:rFonts w:hint="default" w:ascii="Times New Roman" w:hAnsi="Times New Roman" w:cs="Times New Roman"/>
                      <w:sz w:val="18"/>
                      <w:szCs w:val="18"/>
                    </w:rPr>
                  </w:pP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总磷（以P计）</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园区污水处理厂排口</w:t>
                  </w:r>
                </w:p>
              </w:tc>
              <w:tc>
                <w:tcPr>
                  <w:tcW w:w="1355" w:type="pct"/>
                  <w:vMerge w:val="restart"/>
                  <w:tcMar>
                    <w:left w:w="0" w:type="dxa"/>
                    <w:right w:w="0" w:type="dxa"/>
                  </w:tcMar>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color w:val="auto"/>
                      <w:sz w:val="18"/>
                      <w:szCs w:val="18"/>
                    </w:rPr>
                    <w:t>《苏州特别排放限值标准》</w:t>
                  </w:r>
                </w:p>
              </w:tc>
              <w:tc>
                <w:tcPr>
                  <w:tcW w:w="878" w:type="pct"/>
                  <w:vMerge w:val="restart"/>
                  <w:vAlign w:val="center"/>
                </w:tcPr>
                <w:p>
                  <w:pPr>
                    <w:adjustRightInd w:val="0"/>
                    <w:snapToGrid w:val="0"/>
                    <w:jc w:val="center"/>
                    <w:rPr>
                      <w:rFonts w:hint="default" w:ascii="Times New Roman" w:hAnsi="Times New Roman" w:cs="Times New Roman"/>
                      <w:sz w:val="18"/>
                      <w:szCs w:val="18"/>
                    </w:rPr>
                  </w:pPr>
                  <w:r>
                    <w:rPr>
                      <w:rFonts w:hint="eastAsia" w:cs="Times New Roman"/>
                      <w:sz w:val="18"/>
                      <w:szCs w:val="18"/>
                      <w:lang w:val="en-US" w:eastAsia="zh-CN"/>
                    </w:rPr>
                    <w:t>/</w:t>
                  </w: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1168" w:type="pct"/>
                  <w:vAlign w:val="center"/>
                </w:tcPr>
                <w:p>
                  <w:pPr>
                    <w:jc w:val="center"/>
                    <w:rPr>
                      <w:rFonts w:hint="default" w:ascii="Times New Roman" w:hAnsi="Times New Roman" w:cs="Times New Roman"/>
                      <w:sz w:val="18"/>
                      <w:szCs w:val="18"/>
                    </w:rPr>
                  </w:pPr>
                  <w:r>
                    <w:rPr>
                      <w:rFonts w:hint="default" w:ascii="Times New Roman" w:hAnsi="Times New Roman" w:cs="Times New Roman"/>
                      <w:color w:val="auto"/>
                      <w:sz w:val="18"/>
                      <w:szCs w:val="18"/>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continue"/>
                  <w:vAlign w:val="center"/>
                </w:tcPr>
                <w:p>
                  <w:pPr>
                    <w:adjustRightInd w:val="0"/>
                    <w:snapToGrid w:val="0"/>
                    <w:jc w:val="center"/>
                    <w:rPr>
                      <w:rFonts w:hint="default" w:ascii="Times New Roman" w:hAnsi="Times New Roman" w:cs="Times New Roman"/>
                      <w:sz w:val="18"/>
                      <w:szCs w:val="18"/>
                    </w:rPr>
                  </w:pPr>
                </w:p>
              </w:tc>
              <w:tc>
                <w:tcPr>
                  <w:tcW w:w="878" w:type="pct"/>
                  <w:vMerge w:val="continue"/>
                  <w:vAlign w:val="center"/>
                </w:tcPr>
                <w:p>
                  <w:pPr>
                    <w:adjustRightInd w:val="0"/>
                    <w:snapToGrid w:val="0"/>
                    <w:jc w:val="center"/>
                    <w:rPr>
                      <w:rFonts w:hint="default" w:ascii="Times New Roman" w:hAnsi="Times New Roman" w:cs="Times New Roman"/>
                      <w:sz w:val="18"/>
                      <w:szCs w:val="18"/>
                    </w:rPr>
                  </w:pP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1168" w:type="pct"/>
                  <w:vAlign w:val="center"/>
                </w:tcPr>
                <w:p>
                  <w:pPr>
                    <w:jc w:val="center"/>
                    <w:rPr>
                      <w:rFonts w:hint="default" w:ascii="Times New Roman" w:hAnsi="Times New Roman" w:cs="Times New Roman"/>
                      <w:sz w:val="18"/>
                      <w:szCs w:val="18"/>
                    </w:rPr>
                  </w:pPr>
                  <w:r>
                    <w:rPr>
                      <w:rFonts w:hint="default" w:ascii="Times New Roman" w:hAnsi="Times New Roman" w:cs="Times New Roman"/>
                      <w:color w:val="auto"/>
                      <w:sz w:val="18"/>
                      <w:szCs w:val="18"/>
                    </w:rPr>
                    <w:t>1.5（3.0）*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continue"/>
                  <w:vAlign w:val="center"/>
                </w:tcPr>
                <w:p>
                  <w:pPr>
                    <w:adjustRightInd w:val="0"/>
                    <w:snapToGrid w:val="0"/>
                    <w:jc w:val="center"/>
                    <w:rPr>
                      <w:rFonts w:hint="default" w:ascii="Times New Roman" w:hAnsi="Times New Roman" w:cs="Times New Roman"/>
                      <w:sz w:val="18"/>
                      <w:szCs w:val="18"/>
                    </w:rPr>
                  </w:pPr>
                </w:p>
              </w:tc>
              <w:tc>
                <w:tcPr>
                  <w:tcW w:w="878" w:type="pct"/>
                  <w:vMerge w:val="continue"/>
                  <w:vAlign w:val="center"/>
                </w:tcPr>
                <w:p>
                  <w:pPr>
                    <w:adjustRightInd w:val="0"/>
                    <w:snapToGrid w:val="0"/>
                    <w:jc w:val="center"/>
                    <w:rPr>
                      <w:rFonts w:hint="default" w:ascii="Times New Roman" w:hAnsi="Times New Roman" w:cs="Times New Roman"/>
                      <w:sz w:val="18"/>
                      <w:szCs w:val="18"/>
                    </w:rPr>
                  </w:pP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总磷</w:t>
                  </w:r>
                </w:p>
              </w:tc>
              <w:tc>
                <w:tcPr>
                  <w:tcW w:w="1168" w:type="pct"/>
                  <w:vAlign w:val="center"/>
                </w:tcPr>
                <w:p>
                  <w:pPr>
                    <w:jc w:val="center"/>
                    <w:rPr>
                      <w:rFonts w:hint="default" w:ascii="Times New Roman" w:hAnsi="Times New Roman" w:cs="Times New Roman"/>
                      <w:sz w:val="18"/>
                      <w:szCs w:val="18"/>
                    </w:rPr>
                  </w:pPr>
                  <w:r>
                    <w:rPr>
                      <w:rFonts w:hint="default" w:ascii="Times New Roman" w:hAnsi="Times New Roman" w:cs="Times New Roman"/>
                      <w:color w:val="auto"/>
                      <w:sz w:val="18"/>
                      <w:szCs w:val="18"/>
                    </w:rPr>
                    <w:t>0.3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《城镇污水处理厂污染物排放标准》</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（GB18918-2002）</w:t>
                  </w:r>
                </w:p>
              </w:tc>
              <w:tc>
                <w:tcPr>
                  <w:tcW w:w="878" w:type="pct"/>
                  <w:vMerge w:val="restar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表1</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一级A标准</w:t>
                  </w: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pH（无量纲）</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6~9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597" w:type="pct"/>
                  <w:vMerge w:val="continue"/>
                  <w:vAlign w:val="center"/>
                </w:tcPr>
                <w:p>
                  <w:pPr>
                    <w:adjustRightInd w:val="0"/>
                    <w:snapToGrid w:val="0"/>
                    <w:jc w:val="center"/>
                    <w:rPr>
                      <w:rFonts w:hint="default" w:ascii="Times New Roman" w:hAnsi="Times New Roman" w:cs="Times New Roman"/>
                      <w:sz w:val="18"/>
                      <w:szCs w:val="18"/>
                    </w:rPr>
                  </w:pPr>
                </w:p>
              </w:tc>
              <w:tc>
                <w:tcPr>
                  <w:tcW w:w="1355" w:type="pct"/>
                  <w:vMerge w:val="continue"/>
                  <w:vAlign w:val="center"/>
                </w:tcPr>
                <w:p>
                  <w:pPr>
                    <w:adjustRightInd w:val="0"/>
                    <w:snapToGrid w:val="0"/>
                    <w:jc w:val="center"/>
                    <w:rPr>
                      <w:rFonts w:hint="default" w:ascii="Times New Roman" w:hAnsi="Times New Roman" w:cs="Times New Roman"/>
                      <w:sz w:val="18"/>
                      <w:szCs w:val="18"/>
                    </w:rPr>
                  </w:pPr>
                </w:p>
              </w:tc>
              <w:tc>
                <w:tcPr>
                  <w:tcW w:w="878" w:type="pct"/>
                  <w:vMerge w:val="continue"/>
                  <w:vAlign w:val="center"/>
                </w:tcPr>
                <w:p>
                  <w:pPr>
                    <w:adjustRightInd w:val="0"/>
                    <w:snapToGrid w:val="0"/>
                    <w:jc w:val="center"/>
                    <w:rPr>
                      <w:rFonts w:hint="default" w:ascii="Times New Roman" w:hAnsi="Times New Roman" w:cs="Times New Roman"/>
                      <w:sz w:val="18"/>
                      <w:szCs w:val="18"/>
                    </w:rPr>
                  </w:pPr>
                </w:p>
              </w:tc>
              <w:tc>
                <w:tcPr>
                  <w:tcW w:w="999"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SS</w:t>
                  </w:r>
                </w:p>
              </w:tc>
              <w:tc>
                <w:tcPr>
                  <w:tcW w:w="116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r>
          </w:tbl>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rPr>
              <w:t>注：</w:t>
            </w:r>
            <w:r>
              <w:rPr>
                <w:rFonts w:hint="default" w:ascii="Times New Roman" w:hAnsi="Times New Roman" w:eastAsia="宋体" w:cs="Times New Roman"/>
                <w:b w:val="0"/>
                <w:bCs/>
                <w:color w:val="auto"/>
                <w:sz w:val="18"/>
                <w:szCs w:val="18"/>
                <w:highlight w:val="none"/>
                <w:lang w:val="en-US" w:eastAsia="zh-CN"/>
              </w:rPr>
              <w:t>*括号外数值为水温＞12℃时的控制指标，括号内数值为水温≤12℃时的控制指标。</w:t>
            </w:r>
          </w:p>
          <w:p>
            <w:pPr>
              <w:adjustRightInd w:val="0"/>
              <w:snapToGrid w:val="0"/>
              <w:spacing w:line="360" w:lineRule="auto"/>
              <w:rPr>
                <w:rFonts w:hint="default" w:ascii="Times New Roman" w:hAnsi="Times New Roman" w:cs="Times New Roman"/>
                <w:sz w:val="21"/>
                <w:szCs w:val="21"/>
              </w:rPr>
            </w:pPr>
            <w:r>
              <w:rPr>
                <w:rFonts w:hint="default" w:ascii="Times New Roman" w:hAnsi="Times New Roman" w:cs="Times New Roman"/>
                <w:b/>
                <w:bCs/>
                <w:sz w:val="21"/>
                <w:szCs w:val="21"/>
              </w:rPr>
              <w:t>噪声：</w:t>
            </w:r>
            <w:r>
              <w:rPr>
                <w:rFonts w:hint="default" w:ascii="Times New Roman" w:hAnsi="Times New Roman" w:cs="Times New Roman"/>
                <w:sz w:val="21"/>
                <w:szCs w:val="21"/>
              </w:rPr>
              <w:t>厂界噪声执行《工业企业厂界环境噪声排放标准》（GB12348-2008）3类标准。</w:t>
            </w:r>
          </w:p>
          <w:p>
            <w:pPr>
              <w:pStyle w:val="29"/>
              <w:adjustRightInd w:val="0"/>
              <w:snapToGrid w:val="0"/>
              <w:spacing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9</w:t>
            </w:r>
            <w:r>
              <w:rPr>
                <w:rFonts w:hint="default" w:ascii="Times New Roman" w:hAnsi="Times New Roman" w:cs="Times New Roman"/>
                <w:b/>
                <w:bCs/>
                <w:sz w:val="21"/>
                <w:szCs w:val="21"/>
              </w:rPr>
              <w:t xml:space="preserve"> 噪声排放标准</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213"/>
              <w:gridCol w:w="1349"/>
              <w:gridCol w:w="1349"/>
              <w:gridCol w:w="3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pct"/>
                  <w:vAlign w:val="center"/>
                </w:tcPr>
                <w:p>
                  <w:pPr>
                    <w:spacing w:line="360" w:lineRule="auto"/>
                    <w:jc w:val="center"/>
                    <w:rPr>
                      <w:rFonts w:hint="default" w:ascii="Times New Roman" w:hAnsi="Times New Roman" w:cs="Times New Roman"/>
                      <w:sz w:val="18"/>
                      <w:szCs w:val="18"/>
                    </w:rPr>
                  </w:pPr>
                  <w:r>
                    <w:rPr>
                      <w:rFonts w:hint="default" w:ascii="Times New Roman" w:hAnsi="Times New Roman" w:cs="Times New Roman"/>
                      <w:sz w:val="18"/>
                      <w:szCs w:val="18"/>
                    </w:rPr>
                    <w:t>区域</w:t>
                  </w:r>
                </w:p>
              </w:tc>
              <w:tc>
                <w:tcPr>
                  <w:tcW w:w="73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标准级别</w:t>
                  </w:r>
                </w:p>
              </w:tc>
              <w:tc>
                <w:tcPr>
                  <w:tcW w:w="821"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昼间</w:t>
                  </w:r>
                </w:p>
              </w:tc>
              <w:tc>
                <w:tcPr>
                  <w:tcW w:w="821"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夜间</w:t>
                  </w:r>
                </w:p>
              </w:tc>
              <w:tc>
                <w:tcPr>
                  <w:tcW w:w="1874"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厂界外1m</w:t>
                  </w:r>
                </w:p>
              </w:tc>
              <w:tc>
                <w:tcPr>
                  <w:tcW w:w="738"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3类</w:t>
                  </w:r>
                </w:p>
              </w:tc>
              <w:tc>
                <w:tcPr>
                  <w:tcW w:w="821"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65dB(A)</w:t>
                  </w:r>
                </w:p>
              </w:tc>
              <w:tc>
                <w:tcPr>
                  <w:tcW w:w="821" w:type="pct"/>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55dB(A)</w:t>
                  </w:r>
                </w:p>
              </w:tc>
              <w:tc>
                <w:tcPr>
                  <w:tcW w:w="1874"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《工业企业厂界环境噪声排放标准》（GB12348-2008）</w:t>
                  </w:r>
                </w:p>
              </w:tc>
            </w:tr>
          </w:tbl>
          <w:p>
            <w:pPr>
              <w:pStyle w:val="29"/>
              <w:jc w:val="both"/>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b/>
                <w:bCs/>
                <w:sz w:val="21"/>
                <w:szCs w:val="21"/>
              </w:rPr>
              <w:t>固废：</w:t>
            </w:r>
            <w:r>
              <w:rPr>
                <w:rFonts w:hint="default" w:ascii="Times New Roman" w:hAnsi="Times New Roman" w:eastAsia="宋体" w:cs="Times New Roman"/>
                <w:color w:val="auto"/>
                <w:sz w:val="21"/>
                <w:szCs w:val="21"/>
                <w:highlight w:val="none"/>
                <w:lang w:val="en-US" w:eastAsia="zh-CN"/>
              </w:rPr>
              <w:t>执行《中华人民共和国固体废物污染环境防治法》和《江苏省固体废物污染环境防治条例》。一般固废贮存管理按《一般工业固体废物贮存、处置物污染控制标准》（GB18599-2020）；危险废物管理执行《危险废物收集 贮存 运输技术规范》（HJ2025-2012）、《危险废物贮存污染控制标准》（GB 18597-2001）及2013年修改单及危险废物规范化管理要求等。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trPr>
        <w:tc>
          <w:tcPr>
            <w:tcW w:w="556"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总量</w:t>
            </w:r>
          </w:p>
          <w:p>
            <w:pPr>
              <w:adjustRightInd w:val="0"/>
              <w:snapToGrid w:val="0"/>
              <w:jc w:val="center"/>
              <w:rPr>
                <w:rFonts w:hint="eastAsia"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434"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sz w:val="21"/>
                <w:szCs w:val="21"/>
              </w:rPr>
            </w:pPr>
            <w:r>
              <w:rPr>
                <w:rFonts w:hint="default" w:ascii="Times New Roman" w:hAnsi="Times New Roman" w:cs="Times New Roman"/>
                <w:b/>
                <w:sz w:val="21"/>
                <w:szCs w:val="21"/>
              </w:rPr>
              <w:t>本项目建成后</w:t>
            </w:r>
            <w:r>
              <w:rPr>
                <w:rFonts w:hint="default" w:ascii="Times New Roman" w:hAnsi="Times New Roman" w:cs="Times New Roman"/>
                <w:b/>
                <w:sz w:val="21"/>
                <w:szCs w:val="21"/>
                <w:lang w:eastAsia="zh-CN"/>
              </w:rPr>
              <w:t>全</w:t>
            </w:r>
            <w:r>
              <w:rPr>
                <w:rFonts w:hint="default" w:ascii="Times New Roman" w:hAnsi="Times New Roman" w:cs="Times New Roman"/>
                <w:b/>
                <w:sz w:val="21"/>
                <w:szCs w:val="21"/>
              </w:rPr>
              <w:t>污染物总量控制指标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cs="Times New Roman"/>
                <w:b/>
                <w:sz w:val="21"/>
                <w:szCs w:val="21"/>
                <w:lang w:val="en-US" w:eastAsia="zh-CN"/>
              </w:rPr>
              <w:t>3</w:t>
            </w:r>
            <w:r>
              <w:rPr>
                <w:rFonts w:hint="default" w:ascii="Times New Roman" w:hAnsi="Times New Roman" w:cs="Times New Roman"/>
                <w:b/>
                <w:sz w:val="21"/>
                <w:szCs w:val="21"/>
              </w:rPr>
              <w:t>-</w:t>
            </w:r>
            <w:r>
              <w:rPr>
                <w:rFonts w:hint="eastAsia" w:cs="Times New Roman"/>
                <w:b/>
                <w:sz w:val="21"/>
                <w:szCs w:val="21"/>
                <w:lang w:val="en-US" w:eastAsia="zh-CN"/>
              </w:rPr>
              <w:t xml:space="preserve">10 </w:t>
            </w:r>
            <w:r>
              <w:rPr>
                <w:rFonts w:hint="default" w:ascii="Times New Roman" w:hAnsi="Times New Roman" w:cs="Times New Roman"/>
                <w:b/>
                <w:sz w:val="21"/>
                <w:szCs w:val="21"/>
              </w:rPr>
              <w:t xml:space="preserve"> 本项目建成后</w:t>
            </w:r>
            <w:r>
              <w:rPr>
                <w:rFonts w:hint="default" w:ascii="Times New Roman" w:hAnsi="Times New Roman" w:cs="Times New Roman"/>
                <w:b/>
                <w:sz w:val="21"/>
                <w:szCs w:val="21"/>
                <w:lang w:eastAsia="zh-CN"/>
              </w:rPr>
              <w:t>全厂</w:t>
            </w:r>
            <w:r>
              <w:rPr>
                <w:rFonts w:hint="default" w:ascii="Times New Roman" w:hAnsi="Times New Roman" w:cs="Times New Roman"/>
                <w:b/>
                <w:sz w:val="21"/>
                <w:szCs w:val="21"/>
              </w:rPr>
              <w:t>污染物产生排放三本账单位：t/a</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8"/>
              <w:gridCol w:w="1136"/>
              <w:gridCol w:w="1384"/>
              <w:gridCol w:w="1218"/>
              <w:gridCol w:w="996"/>
              <w:gridCol w:w="1072"/>
              <w:gridCol w:w="907"/>
              <w:gridCol w:w="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382" w:type="pct"/>
                  <w:vMerge w:val="restart"/>
                  <w:tcBorders>
                    <w:tl2br w:val="nil"/>
                    <w:tr2bl w:val="nil"/>
                  </w:tcBorders>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1533" w:type="pct"/>
                  <w:gridSpan w:val="2"/>
                  <w:vMerge w:val="restart"/>
                  <w:tcBorders>
                    <w:tl2br w:val="nil"/>
                    <w:tr2bl w:val="nil"/>
                  </w:tcBorders>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污染物名称</w:t>
                  </w:r>
                </w:p>
              </w:tc>
              <w:tc>
                <w:tcPr>
                  <w:tcW w:w="3083" w:type="pct"/>
                  <w:gridSpan w:val="5"/>
                  <w:tcBorders>
                    <w:tl2br w:val="nil"/>
                    <w:tr2bl w:val="nil"/>
                  </w:tcBorders>
                  <w:vAlign w:val="center"/>
                </w:tcPr>
                <w:p>
                  <w:pPr>
                    <w:adjustRightInd w:val="0"/>
                    <w:snapToGrid w:val="0"/>
                    <w:jc w:val="center"/>
                    <w:rPr>
                      <w:rFonts w:hint="eastAsia" w:ascii="Times New Roman" w:hAnsi="Times New Roman" w:eastAsia="宋体" w:cs="Times New Roman"/>
                      <w:b/>
                      <w:bCs/>
                      <w:sz w:val="18"/>
                      <w:szCs w:val="18"/>
                      <w:lang w:val="en-US" w:eastAsia="zh-CN"/>
                    </w:rPr>
                  </w:pPr>
                  <w:r>
                    <w:rPr>
                      <w:rFonts w:hint="default" w:ascii="Times New Roman" w:hAnsi="Times New Roman" w:cs="Times New Roman"/>
                      <w:b/>
                      <w:bCs/>
                      <w:sz w:val="18"/>
                      <w:szCs w:val="18"/>
                    </w:rPr>
                    <w:t>排放量</w:t>
                  </w:r>
                  <w:r>
                    <w:rPr>
                      <w:rFonts w:hint="eastAsia" w:cs="Times New Roman"/>
                      <w:b/>
                      <w:bCs/>
                      <w:sz w:val="18"/>
                      <w:szCs w:val="18"/>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1533" w:type="pct"/>
                  <w:gridSpan w:val="2"/>
                  <w:vMerge w:val="continue"/>
                  <w:tcBorders>
                    <w:tl2br w:val="nil"/>
                    <w:tr2bl w:val="nil"/>
                  </w:tcBorders>
                  <w:vAlign w:val="center"/>
                </w:tcPr>
                <w:p>
                  <w:pPr>
                    <w:adjustRightInd w:val="0"/>
                    <w:snapToGrid w:val="0"/>
                    <w:jc w:val="center"/>
                    <w:rPr>
                      <w:rFonts w:hint="default" w:ascii="Times New Roman" w:hAnsi="Times New Roman" w:cs="Times New Roman"/>
                      <w:sz w:val="18"/>
                      <w:szCs w:val="18"/>
                    </w:rPr>
                  </w:pPr>
                </w:p>
              </w:tc>
              <w:tc>
                <w:tcPr>
                  <w:tcW w:w="741" w:type="pct"/>
                  <w:tcBorders>
                    <w:tl2br w:val="nil"/>
                    <w:tr2bl w:val="nil"/>
                  </w:tcBorders>
                  <w:vAlign w:val="center"/>
                </w:tcPr>
                <w:p>
                  <w:pPr>
                    <w:adjustRightInd w:val="0"/>
                    <w:snapToGrid w:val="0"/>
                    <w:ind w:left="210" w:hanging="181" w:hangingChars="100"/>
                    <w:jc w:val="center"/>
                    <w:rPr>
                      <w:rFonts w:hint="default" w:ascii="Times New Roman" w:hAnsi="Times New Roman" w:cs="Times New Roman"/>
                      <w:b/>
                      <w:bCs/>
                      <w:sz w:val="18"/>
                      <w:szCs w:val="18"/>
                    </w:rPr>
                  </w:pPr>
                  <w:r>
                    <w:rPr>
                      <w:rFonts w:hint="default" w:ascii="Times New Roman" w:hAnsi="Times New Roman" w:cs="Times New Roman"/>
                      <w:b/>
                      <w:bCs/>
                      <w:sz w:val="18"/>
                      <w:szCs w:val="18"/>
                      <w:lang w:eastAsia="zh-CN"/>
                    </w:rPr>
                    <w:t>现有项目</w:t>
                  </w:r>
                </w:p>
              </w:tc>
              <w:tc>
                <w:tcPr>
                  <w:tcW w:w="606" w:type="pct"/>
                  <w:tcBorders>
                    <w:tl2br w:val="nil"/>
                    <w:tr2bl w:val="nil"/>
                  </w:tcBorders>
                  <w:vAlign w:val="center"/>
                </w:tcPr>
                <w:p>
                  <w:pPr>
                    <w:adjustRightInd w:val="0"/>
                    <w:snapToGrid w:val="0"/>
                    <w:ind w:left="210" w:hanging="181" w:hangingChars="10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lang w:eastAsia="zh-CN"/>
                      <w14:textFill>
                        <w14:solidFill>
                          <w14:schemeClr w14:val="tx1"/>
                        </w14:solidFill>
                      </w14:textFill>
                    </w:rPr>
                    <w:t>本项目</w:t>
                  </w:r>
                </w:p>
              </w:tc>
              <w:tc>
                <w:tcPr>
                  <w:tcW w:w="652" w:type="pct"/>
                  <w:tcBorders>
                    <w:tl2br w:val="nil"/>
                    <w:tr2bl w:val="nil"/>
                  </w:tcBorders>
                  <w:vAlign w:val="center"/>
                </w:tcPr>
                <w:p>
                  <w:pPr>
                    <w:adjustRightInd w:val="0"/>
                    <w:snapToGrid w:val="0"/>
                    <w:jc w:val="center"/>
                    <w:rPr>
                      <w:rFonts w:hint="default" w:ascii="Times New Roman" w:hAnsi="Times New Roman" w:cs="Times New Roman"/>
                      <w:b/>
                      <w:bCs/>
                      <w:sz w:val="18"/>
                      <w:szCs w:val="18"/>
                    </w:rPr>
                  </w:pPr>
                  <w:r>
                    <w:rPr>
                      <w:rFonts w:hint="eastAsia" w:cs="Times New Roman"/>
                      <w:b/>
                      <w:bCs/>
                      <w:sz w:val="18"/>
                      <w:szCs w:val="18"/>
                      <w:lang w:eastAsia="zh-CN"/>
                    </w:rPr>
                    <w:t>“</w:t>
                  </w:r>
                  <w:r>
                    <w:rPr>
                      <w:rFonts w:hint="default" w:ascii="Times New Roman" w:hAnsi="Times New Roman" w:cs="Times New Roman"/>
                      <w:b/>
                      <w:bCs/>
                      <w:sz w:val="18"/>
                      <w:szCs w:val="18"/>
                    </w:rPr>
                    <w:t>以新带老</w:t>
                  </w:r>
                  <w:r>
                    <w:rPr>
                      <w:rFonts w:hint="eastAsia" w:cs="Times New Roman"/>
                      <w:b/>
                      <w:bCs/>
                      <w:sz w:val="18"/>
                      <w:szCs w:val="18"/>
                      <w:lang w:eastAsia="zh-CN"/>
                    </w:rPr>
                    <w:t>”</w:t>
                  </w:r>
                  <w:r>
                    <w:rPr>
                      <w:rFonts w:hint="default" w:ascii="Times New Roman" w:hAnsi="Times New Roman" w:cs="Times New Roman"/>
                      <w:b/>
                      <w:bCs/>
                      <w:sz w:val="18"/>
                      <w:szCs w:val="18"/>
                    </w:rPr>
                    <w:t>削减量</w:t>
                  </w:r>
                </w:p>
              </w:tc>
              <w:tc>
                <w:tcPr>
                  <w:tcW w:w="552" w:type="pct"/>
                  <w:tcBorders>
                    <w:tl2br w:val="nil"/>
                    <w:tr2bl w:val="nil"/>
                  </w:tcBorders>
                  <w:vAlign w:val="center"/>
                </w:tcPr>
                <w:p>
                  <w:pPr>
                    <w:adjustRightInd w:val="0"/>
                    <w:snapToGrid w:val="0"/>
                    <w:jc w:val="center"/>
                    <w:rPr>
                      <w:rFonts w:hint="default" w:ascii="Times New Roman" w:hAnsi="Times New Roman" w:cs="Times New Roman"/>
                      <w:b/>
                      <w:bCs/>
                      <w:sz w:val="18"/>
                      <w:szCs w:val="18"/>
                    </w:rPr>
                  </w:pPr>
                  <w:r>
                    <w:rPr>
                      <w:rFonts w:hint="eastAsia" w:ascii="Times New Roman" w:hAnsi="Times New Roman" w:cs="Times New Roman"/>
                      <w:b/>
                      <w:bCs/>
                      <w:sz w:val="18"/>
                      <w:szCs w:val="18"/>
                      <w:lang w:val="en-US" w:eastAsia="zh-CN"/>
                    </w:rPr>
                    <w:t>技改</w:t>
                  </w:r>
                  <w:r>
                    <w:rPr>
                      <w:rFonts w:hint="default" w:ascii="Times New Roman" w:hAnsi="Times New Roman" w:cs="Times New Roman"/>
                      <w:b/>
                      <w:bCs/>
                      <w:sz w:val="18"/>
                      <w:szCs w:val="18"/>
                      <w:lang w:eastAsia="zh-CN"/>
                    </w:rPr>
                    <w:t>后</w:t>
                  </w:r>
                  <w:r>
                    <w:rPr>
                      <w:rFonts w:hint="default" w:ascii="Times New Roman" w:hAnsi="Times New Roman" w:cs="Times New Roman"/>
                      <w:b/>
                      <w:bCs/>
                      <w:sz w:val="18"/>
                      <w:szCs w:val="18"/>
                    </w:rPr>
                    <w:t>全厂</w:t>
                  </w:r>
                </w:p>
              </w:tc>
              <w:tc>
                <w:tcPr>
                  <w:tcW w:w="531" w:type="pct"/>
                  <w:tcBorders>
                    <w:tl2br w:val="nil"/>
                    <w:tr2bl w:val="nil"/>
                  </w:tcBorders>
                  <w:vAlign w:val="center"/>
                </w:tcPr>
                <w:p>
                  <w:pPr>
                    <w:adjustRightInd w:val="0"/>
                    <w:snapToGrid w:val="0"/>
                    <w:jc w:val="center"/>
                    <w:rPr>
                      <w:rFonts w:hint="default" w:ascii="Times New Roman" w:hAnsi="Times New Roman" w:cs="Times New Roman"/>
                      <w:b/>
                      <w:bCs/>
                      <w:sz w:val="18"/>
                      <w:szCs w:val="18"/>
                    </w:rPr>
                  </w:pPr>
                  <w:r>
                    <w:rPr>
                      <w:rFonts w:hint="eastAsia" w:ascii="Times New Roman" w:hAnsi="Times New Roman" w:cs="Times New Roman"/>
                      <w:b/>
                      <w:bCs/>
                      <w:sz w:val="18"/>
                      <w:szCs w:val="18"/>
                      <w:lang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restart"/>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废气</w:t>
                  </w:r>
                </w:p>
              </w:tc>
              <w:tc>
                <w:tcPr>
                  <w:tcW w:w="691" w:type="pct"/>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有组织</w:t>
                  </w:r>
                </w:p>
              </w:tc>
              <w:tc>
                <w:tcPr>
                  <w:tcW w:w="842"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非甲烷总烃</w:t>
                  </w:r>
                </w:p>
              </w:tc>
              <w:tc>
                <w:tcPr>
                  <w:tcW w:w="741" w:type="pct"/>
                  <w:tcBorders>
                    <w:tl2br w:val="nil"/>
                    <w:tr2bl w:val="nil"/>
                  </w:tcBorders>
                  <w:vAlign w:val="center"/>
                </w:tcPr>
                <w:p>
                  <w:pPr>
                    <w:adjustRightInd w:val="0"/>
                    <w:snapToGrid w:val="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0.12</w:t>
                  </w:r>
                </w:p>
              </w:tc>
              <w:tc>
                <w:tcPr>
                  <w:tcW w:w="606" w:type="pct"/>
                  <w:tcBorders>
                    <w:tl2br w:val="nil"/>
                    <w:tr2bl w:val="nil"/>
                  </w:tcBorders>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0.009</w:t>
                  </w:r>
                </w:p>
              </w:tc>
              <w:tc>
                <w:tcPr>
                  <w:tcW w:w="652" w:type="pct"/>
                  <w:tcBorders>
                    <w:tl2br w:val="nil"/>
                    <w:tr2bl w:val="nil"/>
                  </w:tcBorders>
                  <w:vAlign w:val="center"/>
                </w:tcPr>
                <w:p>
                  <w:pPr>
                    <w:widowControl/>
                    <w:adjustRightInd w:val="0"/>
                    <w:snapToGrid w:val="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w:t>
                  </w:r>
                </w:p>
              </w:tc>
              <w:tc>
                <w:tcPr>
                  <w:tcW w:w="552" w:type="pct"/>
                  <w:tcBorders>
                    <w:tl2br w:val="nil"/>
                    <w:tr2bl w:val="nil"/>
                  </w:tcBorders>
                  <w:vAlign w:val="center"/>
                </w:tcPr>
                <w:p>
                  <w:pPr>
                    <w:adjustRightInd w:val="0"/>
                    <w:snapToGrid w:val="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0.129</w:t>
                  </w:r>
                </w:p>
              </w:tc>
              <w:tc>
                <w:tcPr>
                  <w:tcW w:w="531"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无组织</w:t>
                  </w:r>
                </w:p>
              </w:tc>
              <w:tc>
                <w:tcPr>
                  <w:tcW w:w="842" w:type="pct"/>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非甲烷总烃</w:t>
                  </w:r>
                </w:p>
              </w:tc>
              <w:tc>
                <w:tcPr>
                  <w:tcW w:w="741" w:type="pct"/>
                  <w:tcBorders>
                    <w:tl2br w:val="nil"/>
                    <w:tr2bl w:val="nil"/>
                  </w:tcBorders>
                  <w:vAlign w:val="center"/>
                </w:tcPr>
                <w:p>
                  <w:pPr>
                    <w:adjustRightInd w:val="0"/>
                    <w:snapToGrid w:val="0"/>
                    <w:jc w:val="center"/>
                    <w:rPr>
                      <w:rFonts w:hint="default" w:cs="Times New Roman"/>
                      <w:color w:val="000000" w:themeColor="text1"/>
                      <w:sz w:val="18"/>
                      <w:szCs w:val="18"/>
                      <w:shd w:val="clear" w:color="auto" w:fill="FFFFFF"/>
                      <w:lang w:val="en-US" w:eastAsia="zh-CN"/>
                      <w14:textFill>
                        <w14:solidFill>
                          <w14:schemeClr w14:val="tx1"/>
                        </w14:solidFill>
                      </w14:textFill>
                    </w:rPr>
                  </w:pPr>
                  <w:r>
                    <w:rPr>
                      <w:rFonts w:hint="eastAsia" w:cs="Times New Roman"/>
                      <w:color w:val="000000" w:themeColor="text1"/>
                      <w:sz w:val="18"/>
                      <w:szCs w:val="18"/>
                      <w:shd w:val="clear" w:color="auto" w:fill="FFFFFF"/>
                      <w:lang w:val="en-US" w:eastAsia="zh-CN"/>
                      <w14:textFill>
                        <w14:solidFill>
                          <w14:schemeClr w14:val="tx1"/>
                        </w14:solidFill>
                      </w14:textFill>
                    </w:rPr>
                    <w:t>/</w:t>
                  </w:r>
                </w:p>
              </w:tc>
              <w:tc>
                <w:tcPr>
                  <w:tcW w:w="606"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0.01</w:t>
                  </w:r>
                </w:p>
              </w:tc>
              <w:tc>
                <w:tcPr>
                  <w:tcW w:w="652" w:type="pct"/>
                  <w:tcBorders>
                    <w:tl2br w:val="nil"/>
                    <w:tr2bl w:val="nil"/>
                  </w:tcBorders>
                  <w:vAlign w:val="center"/>
                </w:tcPr>
                <w:p>
                  <w:pPr>
                    <w:widowControl/>
                    <w:adjustRightInd w:val="0"/>
                    <w:snapToGrid w:val="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w:t>
                  </w:r>
                </w:p>
              </w:tc>
              <w:tc>
                <w:tcPr>
                  <w:tcW w:w="552" w:type="pct"/>
                  <w:tcBorders>
                    <w:tl2br w:val="nil"/>
                    <w:tr2bl w:val="nil"/>
                  </w:tcBorders>
                  <w:vAlign w:val="center"/>
                </w:tcPr>
                <w:p>
                  <w:pPr>
                    <w:adjustRightInd w:val="0"/>
                    <w:snapToGrid w:val="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0.01</w:t>
                  </w:r>
                </w:p>
              </w:tc>
              <w:tc>
                <w:tcPr>
                  <w:tcW w:w="531"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restart"/>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废水</w:t>
                  </w:r>
                </w:p>
              </w:tc>
              <w:tc>
                <w:tcPr>
                  <w:tcW w:w="691" w:type="pct"/>
                  <w:vMerge w:val="restar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生活废水</w:t>
                  </w: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水量</w:t>
                  </w:r>
                </w:p>
              </w:tc>
              <w:tc>
                <w:tcPr>
                  <w:tcW w:w="741"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eastAsia" w:cs="Times New Roman"/>
                      <w:color w:val="auto"/>
                      <w:sz w:val="18"/>
                      <w:szCs w:val="18"/>
                      <w:shd w:val="clear" w:color="auto" w:fill="FFFFFF"/>
                      <w:lang w:val="en-US" w:eastAsia="zh-CN"/>
                    </w:rPr>
                    <w:t>2112</w:t>
                  </w:r>
                </w:p>
              </w:tc>
              <w:tc>
                <w:tcPr>
                  <w:tcW w:w="996" w:type="dxa"/>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1600</w:t>
                  </w:r>
                </w:p>
              </w:tc>
              <w:tc>
                <w:tcPr>
                  <w:tcW w:w="1072" w:type="dxa"/>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lang w:val="en-US" w:eastAsia="zh-CN"/>
                    </w:rPr>
                  </w:pPr>
                  <w:r>
                    <w:rPr>
                      <w:rFonts w:hint="eastAsia" w:cs="Times New Roman"/>
                      <w:color w:val="auto"/>
                      <w:sz w:val="18"/>
                      <w:szCs w:val="18"/>
                      <w:shd w:val="clear" w:color="auto" w:fill="FFFFFF"/>
                      <w:lang w:val="en-US" w:eastAsia="zh-CN"/>
                    </w:rPr>
                    <w:t>2112</w:t>
                  </w:r>
                </w:p>
              </w:tc>
              <w:tc>
                <w:tcPr>
                  <w:tcW w:w="55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1600</w:t>
                  </w:r>
                </w:p>
              </w:tc>
              <w:tc>
                <w:tcPr>
                  <w:tcW w:w="531"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lang w:eastAsia="zh-CN"/>
                    </w:rPr>
                    <w:t>COD</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bidi="ar"/>
                    </w:rPr>
                    <w:t>0.1954</w:t>
                  </w:r>
                </w:p>
              </w:tc>
              <w:tc>
                <w:tcPr>
                  <w:tcW w:w="996"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kern w:val="0"/>
                      <w:sz w:val="18"/>
                      <w:szCs w:val="18"/>
                      <w:lang w:val="en-US" w:eastAsia="zh-CN"/>
                    </w:rPr>
                    <w:t>0.560</w:t>
                  </w:r>
                </w:p>
              </w:tc>
              <w:tc>
                <w:tcPr>
                  <w:tcW w:w="1072" w:type="dxa"/>
                  <w:tcBorders>
                    <w:tl2br w:val="nil"/>
                    <w:tr2bl w:val="nil"/>
                  </w:tcBorders>
                  <w:vAlign w:val="center"/>
                </w:tcPr>
                <w:p>
                  <w:pPr>
                    <w:spacing w:line="240" w:lineRule="auto"/>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sz w:val="18"/>
                      <w:szCs w:val="18"/>
                      <w:lang w:val="en-US" w:eastAsia="zh-CN" w:bidi="ar"/>
                    </w:rPr>
                    <w:t>0.1954</w:t>
                  </w:r>
                </w:p>
              </w:tc>
              <w:tc>
                <w:tcPr>
                  <w:tcW w:w="90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0.560</w:t>
                  </w:r>
                </w:p>
              </w:tc>
              <w:tc>
                <w:tcPr>
                  <w:tcW w:w="531"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rPr>
                  </w:pPr>
                  <w:r>
                    <w:rPr>
                      <w:rFonts w:hint="eastAsia" w:cs="Times New Roman"/>
                      <w:color w:val="auto"/>
                      <w:kern w:val="0"/>
                      <w:sz w:val="18"/>
                      <w:szCs w:val="18"/>
                      <w:lang w:val="en-US" w:eastAsia="zh-CN"/>
                    </w:rPr>
                    <w:t>+0.3646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SS</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bidi="ar"/>
                    </w:rPr>
                    <w:t>0.0285</w:t>
                  </w:r>
                </w:p>
              </w:tc>
              <w:tc>
                <w:tcPr>
                  <w:tcW w:w="996"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kern w:val="0"/>
                      <w:sz w:val="18"/>
                      <w:szCs w:val="18"/>
                      <w:lang w:val="en-US" w:eastAsia="zh-CN"/>
                    </w:rPr>
                    <w:t>0.400</w:t>
                  </w:r>
                </w:p>
              </w:tc>
              <w:tc>
                <w:tcPr>
                  <w:tcW w:w="1072" w:type="dxa"/>
                  <w:tcBorders>
                    <w:tl2br w:val="nil"/>
                    <w:tr2bl w:val="nil"/>
                  </w:tcBorders>
                  <w:vAlign w:val="center"/>
                </w:tcPr>
                <w:p>
                  <w:pPr>
                    <w:spacing w:line="240" w:lineRule="auto"/>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sz w:val="18"/>
                      <w:szCs w:val="18"/>
                      <w:lang w:val="en-US" w:eastAsia="zh-CN" w:bidi="ar"/>
                    </w:rPr>
                    <w:t>0.0285</w:t>
                  </w:r>
                </w:p>
              </w:tc>
              <w:tc>
                <w:tcPr>
                  <w:tcW w:w="90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0.400</w:t>
                  </w:r>
                </w:p>
              </w:tc>
              <w:tc>
                <w:tcPr>
                  <w:tcW w:w="531"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rPr>
                  </w:pPr>
                  <w:r>
                    <w:rPr>
                      <w:rFonts w:hint="eastAsia" w:cs="Times New Roman"/>
                      <w:color w:val="auto"/>
                      <w:kern w:val="0"/>
                      <w:sz w:val="18"/>
                      <w:szCs w:val="18"/>
                      <w:lang w:val="en-US" w:eastAsia="zh-CN"/>
                    </w:rPr>
                    <w:t>+0.3715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r>
                    <w:rPr>
                      <w:rFonts w:hint="default" w:ascii="Times New Roman" w:hAnsi="Times New Roman" w:cs="Times New Roman"/>
                      <w:color w:val="auto"/>
                      <w:kern w:val="0"/>
                      <w:sz w:val="18"/>
                      <w:szCs w:val="18"/>
                    </w:rPr>
                    <w:t>-N</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bidi="ar"/>
                    </w:rPr>
                    <w:t>0.0041</w:t>
                  </w:r>
                </w:p>
              </w:tc>
              <w:tc>
                <w:tcPr>
                  <w:tcW w:w="996"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kern w:val="0"/>
                      <w:sz w:val="18"/>
                      <w:szCs w:val="18"/>
                      <w:lang w:val="en-US" w:eastAsia="zh-CN"/>
                    </w:rPr>
                    <w:t>0.048</w:t>
                  </w:r>
                </w:p>
              </w:tc>
              <w:tc>
                <w:tcPr>
                  <w:tcW w:w="1072" w:type="dxa"/>
                  <w:tcBorders>
                    <w:tl2br w:val="nil"/>
                    <w:tr2bl w:val="nil"/>
                  </w:tcBorders>
                  <w:vAlign w:val="center"/>
                </w:tcPr>
                <w:p>
                  <w:pPr>
                    <w:spacing w:line="240" w:lineRule="auto"/>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sz w:val="18"/>
                      <w:szCs w:val="18"/>
                      <w:lang w:val="en-US" w:eastAsia="zh-CN" w:bidi="ar"/>
                    </w:rPr>
                    <w:t>0.0041</w:t>
                  </w:r>
                </w:p>
              </w:tc>
              <w:tc>
                <w:tcPr>
                  <w:tcW w:w="90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0.048</w:t>
                  </w:r>
                </w:p>
              </w:tc>
              <w:tc>
                <w:tcPr>
                  <w:tcW w:w="531"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rPr>
                  </w:pPr>
                  <w:r>
                    <w:rPr>
                      <w:rFonts w:hint="eastAsia" w:cs="Times New Roman"/>
                      <w:color w:val="auto"/>
                      <w:kern w:val="0"/>
                      <w:sz w:val="18"/>
                      <w:szCs w:val="18"/>
                      <w:lang w:val="en-US" w:eastAsia="zh-CN"/>
                    </w:rPr>
                    <w:t>+0.0439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TP</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bidi="ar"/>
                    </w:rPr>
                    <w:t>0.0027</w:t>
                  </w:r>
                </w:p>
              </w:tc>
              <w:tc>
                <w:tcPr>
                  <w:tcW w:w="996" w:type="dxa"/>
                  <w:tcBorders>
                    <w:tl2br w:val="nil"/>
                    <w:tr2bl w:val="nil"/>
                  </w:tcBorders>
                  <w:vAlign w:val="center"/>
                </w:tcPr>
                <w:p>
                  <w:pPr>
                    <w:adjustRightInd w:val="0"/>
                    <w:snapToGrid w:val="0"/>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kern w:val="0"/>
                      <w:sz w:val="18"/>
                      <w:szCs w:val="18"/>
                      <w:lang w:val="en-US" w:eastAsia="zh-CN"/>
                    </w:rPr>
                    <w:t>0.008</w:t>
                  </w:r>
                </w:p>
              </w:tc>
              <w:tc>
                <w:tcPr>
                  <w:tcW w:w="1072" w:type="dxa"/>
                  <w:tcBorders>
                    <w:tl2br w:val="nil"/>
                    <w:tr2bl w:val="nil"/>
                  </w:tcBorders>
                  <w:vAlign w:val="center"/>
                </w:tcPr>
                <w:p>
                  <w:pPr>
                    <w:spacing w:line="240" w:lineRule="auto"/>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sz w:val="18"/>
                      <w:szCs w:val="18"/>
                      <w:lang w:val="en-US" w:eastAsia="zh-CN" w:bidi="ar"/>
                    </w:rPr>
                    <w:t>0.0027</w:t>
                  </w:r>
                </w:p>
              </w:tc>
              <w:tc>
                <w:tcPr>
                  <w:tcW w:w="90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0.008</w:t>
                  </w:r>
                </w:p>
              </w:tc>
              <w:tc>
                <w:tcPr>
                  <w:tcW w:w="531" w:type="pct"/>
                  <w:tcBorders>
                    <w:tl2br w:val="nil"/>
                    <w:tr2bl w:val="nil"/>
                  </w:tcBorders>
                  <w:vAlign w:val="center"/>
                </w:tcPr>
                <w:p>
                  <w:pPr>
                    <w:adjustRightInd w:val="0"/>
                    <w:snapToGrid w:val="0"/>
                    <w:jc w:val="center"/>
                    <w:rPr>
                      <w:rFonts w:hint="default" w:ascii="Times New Roman" w:hAnsi="Times New Roman" w:cs="Times New Roman"/>
                      <w:color w:val="auto"/>
                      <w:sz w:val="18"/>
                      <w:szCs w:val="18"/>
                      <w:lang w:val="en-US"/>
                    </w:rPr>
                  </w:pPr>
                  <w:r>
                    <w:rPr>
                      <w:rFonts w:hint="eastAsia" w:cs="Times New Roman"/>
                      <w:color w:val="auto"/>
                      <w:kern w:val="0"/>
                      <w:sz w:val="18"/>
                      <w:szCs w:val="18"/>
                      <w:lang w:val="en-US" w:eastAsia="zh-CN"/>
                    </w:rPr>
                    <w:t>+0.0053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循环冷却水</w:t>
                  </w: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水量</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lang w:val="en-US" w:eastAsia="zh-CN" w:bidi="ar"/>
                    </w:rPr>
                  </w:pPr>
                  <w:r>
                    <w:rPr>
                      <w:rFonts w:hint="eastAsia" w:cs="Times New Roman"/>
                      <w:color w:val="auto"/>
                      <w:sz w:val="18"/>
                      <w:szCs w:val="18"/>
                      <w:lang w:val="en-US" w:eastAsia="zh-CN" w:bidi="ar"/>
                    </w:rPr>
                    <w:t>4</w:t>
                  </w:r>
                </w:p>
              </w:tc>
              <w:tc>
                <w:tcPr>
                  <w:tcW w:w="606" w:type="pct"/>
                  <w:tcBorders>
                    <w:tl2br w:val="nil"/>
                    <w:tr2bl w:val="nil"/>
                  </w:tcBorders>
                  <w:vAlign w:val="center"/>
                </w:tcPr>
                <w:p>
                  <w:pPr>
                    <w:snapToGrid w:val="0"/>
                    <w:spacing w:line="240" w:lineRule="auto"/>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2</w:t>
                  </w:r>
                </w:p>
              </w:tc>
              <w:tc>
                <w:tcPr>
                  <w:tcW w:w="652" w:type="pct"/>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w:t>
                  </w:r>
                </w:p>
              </w:tc>
              <w:tc>
                <w:tcPr>
                  <w:tcW w:w="552" w:type="pct"/>
                  <w:tcBorders>
                    <w:tl2br w:val="nil"/>
                    <w:tr2bl w:val="nil"/>
                  </w:tcBorders>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6</w:t>
                  </w:r>
                </w:p>
              </w:tc>
              <w:tc>
                <w:tcPr>
                  <w:tcW w:w="531" w:type="pct"/>
                  <w:tcBorders>
                    <w:tl2br w:val="nil"/>
                    <w:tr2bl w:val="nil"/>
                  </w:tcBorders>
                  <w:vAlign w:val="center"/>
                </w:tcPr>
                <w:p>
                  <w:pPr>
                    <w:snapToGrid w:val="0"/>
                    <w:spacing w:line="240" w:lineRule="auto"/>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eastAsia="zh-CN"/>
                    </w:rPr>
                    <w:t>COD</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lang w:val="en-US" w:eastAsia="zh-CN" w:bidi="ar"/>
                    </w:rPr>
                  </w:pPr>
                  <w:r>
                    <w:rPr>
                      <w:rFonts w:hint="eastAsia" w:cs="Times New Roman"/>
                      <w:color w:val="auto"/>
                      <w:sz w:val="18"/>
                      <w:szCs w:val="18"/>
                      <w:lang w:val="en-US" w:eastAsia="zh-CN" w:bidi="ar"/>
                    </w:rPr>
                    <w:t>0.00012</w:t>
                  </w:r>
                </w:p>
              </w:tc>
              <w:tc>
                <w:tcPr>
                  <w:tcW w:w="606" w:type="pct"/>
                  <w:tcBorders>
                    <w:tl2br w:val="nil"/>
                    <w:tr2bl w:val="nil"/>
                  </w:tcBorders>
                  <w:vAlign w:val="center"/>
                </w:tcPr>
                <w:p>
                  <w:pPr>
                    <w:snapToGrid w:val="0"/>
                    <w:spacing w:line="240" w:lineRule="auto"/>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0.00006</w:t>
                  </w:r>
                </w:p>
              </w:tc>
              <w:tc>
                <w:tcPr>
                  <w:tcW w:w="652" w:type="pct"/>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w:t>
                  </w:r>
                </w:p>
              </w:tc>
              <w:tc>
                <w:tcPr>
                  <w:tcW w:w="552" w:type="pct"/>
                  <w:tcBorders>
                    <w:tl2br w:val="nil"/>
                    <w:tr2bl w:val="nil"/>
                  </w:tcBorders>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0.00018</w:t>
                  </w:r>
                </w:p>
              </w:tc>
              <w:tc>
                <w:tcPr>
                  <w:tcW w:w="531" w:type="pct"/>
                  <w:tcBorders>
                    <w:tl2br w:val="nil"/>
                    <w:tr2bl w:val="nil"/>
                  </w:tcBorders>
                  <w:vAlign w:val="center"/>
                </w:tcPr>
                <w:p>
                  <w:pPr>
                    <w:snapToGrid w:val="0"/>
                    <w:spacing w:line="240" w:lineRule="auto"/>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SS</w:t>
                  </w:r>
                </w:p>
              </w:tc>
              <w:tc>
                <w:tcPr>
                  <w:tcW w:w="741" w:type="pct"/>
                  <w:tcBorders>
                    <w:tl2br w:val="nil"/>
                    <w:tr2bl w:val="nil"/>
                  </w:tcBorders>
                  <w:vAlign w:val="center"/>
                </w:tcPr>
                <w:p>
                  <w:pPr>
                    <w:spacing w:line="240" w:lineRule="auto"/>
                    <w:jc w:val="center"/>
                    <w:rPr>
                      <w:rFonts w:hint="default" w:ascii="Times New Roman" w:hAnsi="Times New Roman" w:cs="Times New Roman"/>
                      <w:color w:val="auto"/>
                      <w:sz w:val="18"/>
                      <w:szCs w:val="18"/>
                      <w:lang w:val="en-US" w:eastAsia="zh-CN" w:bidi="ar"/>
                    </w:rPr>
                  </w:pPr>
                  <w:r>
                    <w:rPr>
                      <w:rFonts w:hint="eastAsia" w:cs="Times New Roman"/>
                      <w:color w:val="auto"/>
                      <w:sz w:val="18"/>
                      <w:szCs w:val="18"/>
                      <w:lang w:val="en-US" w:eastAsia="zh-CN" w:bidi="ar"/>
                    </w:rPr>
                    <w:t>0.00012</w:t>
                  </w:r>
                </w:p>
              </w:tc>
              <w:tc>
                <w:tcPr>
                  <w:tcW w:w="606" w:type="pct"/>
                  <w:tcBorders>
                    <w:tl2br w:val="nil"/>
                    <w:tr2bl w:val="nil"/>
                  </w:tcBorders>
                  <w:vAlign w:val="center"/>
                </w:tcPr>
                <w:p>
                  <w:pPr>
                    <w:snapToGrid w:val="0"/>
                    <w:spacing w:line="240" w:lineRule="auto"/>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0.00006</w:t>
                  </w:r>
                </w:p>
              </w:tc>
              <w:tc>
                <w:tcPr>
                  <w:tcW w:w="652" w:type="pct"/>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w:t>
                  </w:r>
                </w:p>
              </w:tc>
              <w:tc>
                <w:tcPr>
                  <w:tcW w:w="552" w:type="pct"/>
                  <w:tcBorders>
                    <w:tl2br w:val="nil"/>
                    <w:tr2bl w:val="nil"/>
                  </w:tcBorders>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0.00018</w:t>
                  </w:r>
                </w:p>
              </w:tc>
              <w:tc>
                <w:tcPr>
                  <w:tcW w:w="531" w:type="pct"/>
                  <w:tcBorders>
                    <w:tl2br w:val="nil"/>
                    <w:tr2bl w:val="nil"/>
                  </w:tcBorders>
                  <w:vAlign w:val="center"/>
                </w:tcPr>
                <w:p>
                  <w:pPr>
                    <w:snapToGrid w:val="0"/>
                    <w:spacing w:line="240" w:lineRule="auto"/>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废水总量</w:t>
                  </w:r>
                </w:p>
              </w:tc>
              <w:tc>
                <w:tcPr>
                  <w:tcW w:w="84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水量</w:t>
                  </w:r>
                </w:p>
              </w:tc>
              <w:tc>
                <w:tcPr>
                  <w:tcW w:w="741" w:type="pct"/>
                  <w:tcBorders>
                    <w:tl2br w:val="nil"/>
                    <w:tr2bl w:val="nil"/>
                  </w:tcBorders>
                  <w:vAlign w:val="center"/>
                </w:tcPr>
                <w:p>
                  <w:pPr>
                    <w:spacing w:line="240" w:lineRule="auto"/>
                    <w:jc w:val="center"/>
                    <w:rPr>
                      <w:rFonts w:hint="default" w:cs="Times New Roman"/>
                      <w:color w:val="auto"/>
                      <w:sz w:val="18"/>
                      <w:szCs w:val="18"/>
                      <w:lang w:val="en-US" w:eastAsia="zh-CN" w:bidi="ar"/>
                    </w:rPr>
                  </w:pPr>
                  <w:r>
                    <w:rPr>
                      <w:rFonts w:hint="eastAsia" w:cs="Times New Roman"/>
                      <w:color w:val="auto"/>
                      <w:sz w:val="18"/>
                      <w:szCs w:val="18"/>
                      <w:lang w:val="en-US" w:eastAsia="zh-CN" w:bidi="ar"/>
                    </w:rPr>
                    <w:t>2116</w:t>
                  </w:r>
                </w:p>
              </w:tc>
              <w:tc>
                <w:tcPr>
                  <w:tcW w:w="996" w:type="dxa"/>
                  <w:tcBorders>
                    <w:tl2br w:val="nil"/>
                    <w:tr2bl w:val="nil"/>
                  </w:tcBorders>
                  <w:vAlign w:val="center"/>
                </w:tcPr>
                <w:p>
                  <w:pPr>
                    <w:widowControl/>
                    <w:adjustRightInd w:val="0"/>
                    <w:snapToGrid w:val="0"/>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1606</w:t>
                  </w:r>
                </w:p>
              </w:tc>
              <w:tc>
                <w:tcPr>
                  <w:tcW w:w="1072" w:type="dxa"/>
                  <w:tcBorders>
                    <w:tl2br w:val="nil"/>
                    <w:tr2bl w:val="nil"/>
                  </w:tcBorders>
                  <w:vAlign w:val="center"/>
                </w:tcPr>
                <w:p>
                  <w:pPr>
                    <w:spacing w:line="240" w:lineRule="auto"/>
                    <w:jc w:val="center"/>
                    <w:rPr>
                      <w:rFonts w:hint="eastAsia" w:cs="Times New Roman"/>
                      <w:color w:val="auto"/>
                      <w:kern w:val="0"/>
                      <w:sz w:val="18"/>
                      <w:szCs w:val="18"/>
                      <w:lang w:val="en-US" w:eastAsia="zh-CN"/>
                    </w:rPr>
                  </w:pPr>
                  <w:r>
                    <w:rPr>
                      <w:rFonts w:hint="eastAsia" w:cs="Times New Roman"/>
                      <w:color w:val="auto"/>
                      <w:sz w:val="18"/>
                      <w:szCs w:val="18"/>
                      <w:lang w:val="en-US" w:eastAsia="zh-CN" w:bidi="ar"/>
                    </w:rPr>
                    <w:t>2116</w:t>
                  </w:r>
                </w:p>
              </w:tc>
              <w:tc>
                <w:tcPr>
                  <w:tcW w:w="552" w:type="pct"/>
                  <w:tcBorders>
                    <w:tl2br w:val="nil"/>
                    <w:tr2bl w:val="nil"/>
                  </w:tcBorders>
                  <w:vAlign w:val="center"/>
                </w:tcPr>
                <w:p>
                  <w:pPr>
                    <w:widowControl/>
                    <w:adjustRightInd w:val="0"/>
                    <w:snapToGrid w:val="0"/>
                    <w:jc w:val="center"/>
                    <w:rPr>
                      <w:rFonts w:hint="eastAsia"/>
                      <w:color w:val="auto"/>
                      <w:sz w:val="18"/>
                      <w:szCs w:val="18"/>
                      <w:lang w:val="en-US" w:eastAsia="zh-CN"/>
                    </w:rPr>
                  </w:pPr>
                  <w:r>
                    <w:rPr>
                      <w:rFonts w:hint="eastAsia" w:cs="Times New Roman"/>
                      <w:color w:val="auto"/>
                      <w:kern w:val="0"/>
                      <w:sz w:val="18"/>
                      <w:szCs w:val="18"/>
                      <w:lang w:val="en-US" w:eastAsia="zh-CN"/>
                    </w:rPr>
                    <w:t>1606</w:t>
                  </w:r>
                </w:p>
              </w:tc>
              <w:tc>
                <w:tcPr>
                  <w:tcW w:w="531" w:type="pct"/>
                  <w:tcBorders>
                    <w:tl2br w:val="nil"/>
                    <w:tr2bl w:val="nil"/>
                  </w:tcBorders>
                  <w:vAlign w:val="center"/>
                </w:tcPr>
                <w:p>
                  <w:pPr>
                    <w:widowControl/>
                    <w:adjustRightInd w:val="0"/>
                    <w:snapToGrid w:val="0"/>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COD</w:t>
                  </w:r>
                </w:p>
              </w:tc>
              <w:tc>
                <w:tcPr>
                  <w:tcW w:w="741" w:type="pct"/>
                  <w:tcBorders>
                    <w:tl2br w:val="nil"/>
                    <w:tr2bl w:val="nil"/>
                  </w:tcBorders>
                  <w:vAlign w:val="center"/>
                </w:tcPr>
                <w:p>
                  <w:pPr>
                    <w:spacing w:line="240" w:lineRule="auto"/>
                    <w:jc w:val="center"/>
                    <w:rPr>
                      <w:rFonts w:hint="default" w:cs="Times New Roman"/>
                      <w:color w:val="auto"/>
                      <w:sz w:val="18"/>
                      <w:szCs w:val="18"/>
                      <w:lang w:val="en-US" w:eastAsia="zh-CN" w:bidi="ar"/>
                    </w:rPr>
                  </w:pPr>
                  <w:r>
                    <w:rPr>
                      <w:rFonts w:hint="eastAsia" w:cs="Times New Roman"/>
                      <w:color w:val="auto"/>
                      <w:sz w:val="18"/>
                      <w:szCs w:val="18"/>
                      <w:lang w:val="en-US" w:eastAsia="zh-CN" w:bidi="ar"/>
                    </w:rPr>
                    <w:t>0.19552</w:t>
                  </w:r>
                </w:p>
              </w:tc>
              <w:tc>
                <w:tcPr>
                  <w:tcW w:w="996" w:type="dxa"/>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0.56018</w:t>
                  </w:r>
                </w:p>
              </w:tc>
              <w:tc>
                <w:tcPr>
                  <w:tcW w:w="1072" w:type="dxa"/>
                  <w:tcBorders>
                    <w:tl2br w:val="nil"/>
                    <w:tr2bl w:val="nil"/>
                  </w:tcBorders>
                  <w:vAlign w:val="center"/>
                </w:tcPr>
                <w:p>
                  <w:pPr>
                    <w:spacing w:line="240" w:lineRule="auto"/>
                    <w:jc w:val="center"/>
                    <w:rPr>
                      <w:rFonts w:hint="eastAsia" w:cs="Times New Roman"/>
                      <w:color w:val="auto"/>
                      <w:kern w:val="0"/>
                      <w:sz w:val="18"/>
                      <w:szCs w:val="18"/>
                      <w:lang w:val="en-US" w:eastAsia="zh-CN"/>
                    </w:rPr>
                  </w:pPr>
                  <w:r>
                    <w:rPr>
                      <w:rFonts w:hint="eastAsia" w:cs="Times New Roman"/>
                      <w:color w:val="auto"/>
                      <w:sz w:val="18"/>
                      <w:szCs w:val="18"/>
                      <w:lang w:val="en-US" w:eastAsia="zh-CN" w:bidi="ar"/>
                    </w:rPr>
                    <w:t>0.19552</w:t>
                  </w:r>
                </w:p>
              </w:tc>
              <w:tc>
                <w:tcPr>
                  <w:tcW w:w="907" w:type="dxa"/>
                  <w:tcBorders>
                    <w:tl2br w:val="nil"/>
                    <w:tr2bl w:val="nil"/>
                  </w:tcBorders>
                  <w:vAlign w:val="center"/>
                </w:tcPr>
                <w:p>
                  <w:pPr>
                    <w:adjustRightInd w:val="0"/>
                    <w:snapToGrid w:val="0"/>
                    <w:jc w:val="center"/>
                    <w:rPr>
                      <w:rFonts w:hint="default"/>
                      <w:color w:val="auto"/>
                      <w:sz w:val="18"/>
                      <w:szCs w:val="18"/>
                      <w:lang w:val="en-US" w:eastAsia="zh-CN"/>
                    </w:rPr>
                  </w:pPr>
                  <w:r>
                    <w:rPr>
                      <w:rFonts w:hint="eastAsia" w:ascii="Times New Roman" w:hAnsi="Times New Roman" w:eastAsia="宋体" w:cs="Times New Roman"/>
                      <w:color w:val="auto"/>
                      <w:kern w:val="0"/>
                      <w:sz w:val="18"/>
                      <w:szCs w:val="18"/>
                      <w:lang w:val="en-US" w:eastAsia="zh-CN"/>
                    </w:rPr>
                    <w:t>0.56018</w:t>
                  </w:r>
                </w:p>
              </w:tc>
              <w:tc>
                <w:tcPr>
                  <w:tcW w:w="874" w:type="dxa"/>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+0.36478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SS</w:t>
                  </w:r>
                </w:p>
              </w:tc>
              <w:tc>
                <w:tcPr>
                  <w:tcW w:w="741" w:type="pct"/>
                  <w:tcBorders>
                    <w:tl2br w:val="nil"/>
                    <w:tr2bl w:val="nil"/>
                  </w:tcBorders>
                  <w:vAlign w:val="center"/>
                </w:tcPr>
                <w:p>
                  <w:pPr>
                    <w:spacing w:line="240" w:lineRule="auto"/>
                    <w:jc w:val="center"/>
                    <w:rPr>
                      <w:rFonts w:hint="default" w:cs="Times New Roman"/>
                      <w:color w:val="auto"/>
                      <w:sz w:val="18"/>
                      <w:szCs w:val="18"/>
                      <w:lang w:val="en-US" w:eastAsia="zh-CN" w:bidi="ar"/>
                    </w:rPr>
                  </w:pPr>
                  <w:r>
                    <w:rPr>
                      <w:rFonts w:hint="eastAsia" w:cs="Times New Roman"/>
                      <w:color w:val="auto"/>
                      <w:sz w:val="18"/>
                      <w:szCs w:val="18"/>
                      <w:lang w:val="en-US" w:eastAsia="zh-CN" w:bidi="ar"/>
                    </w:rPr>
                    <w:t>0.02862</w:t>
                  </w:r>
                </w:p>
              </w:tc>
              <w:tc>
                <w:tcPr>
                  <w:tcW w:w="996" w:type="dxa"/>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0.40018</w:t>
                  </w:r>
                </w:p>
              </w:tc>
              <w:tc>
                <w:tcPr>
                  <w:tcW w:w="1072" w:type="dxa"/>
                  <w:tcBorders>
                    <w:tl2br w:val="nil"/>
                    <w:tr2bl w:val="nil"/>
                  </w:tcBorders>
                  <w:vAlign w:val="center"/>
                </w:tcPr>
                <w:p>
                  <w:pPr>
                    <w:spacing w:line="240" w:lineRule="auto"/>
                    <w:jc w:val="center"/>
                    <w:rPr>
                      <w:rFonts w:hint="default" w:cs="Times New Roman"/>
                      <w:color w:val="auto"/>
                      <w:kern w:val="0"/>
                      <w:sz w:val="18"/>
                      <w:szCs w:val="18"/>
                      <w:lang w:val="en-US" w:eastAsia="zh-CN"/>
                    </w:rPr>
                  </w:pPr>
                  <w:r>
                    <w:rPr>
                      <w:rFonts w:hint="eastAsia" w:cs="Times New Roman"/>
                      <w:color w:val="auto"/>
                      <w:sz w:val="18"/>
                      <w:szCs w:val="18"/>
                      <w:lang w:val="en-US" w:eastAsia="zh-CN" w:bidi="ar"/>
                    </w:rPr>
                    <w:t>0.02862</w:t>
                  </w:r>
                </w:p>
              </w:tc>
              <w:tc>
                <w:tcPr>
                  <w:tcW w:w="907" w:type="dxa"/>
                  <w:tcBorders>
                    <w:tl2br w:val="nil"/>
                    <w:tr2bl w:val="nil"/>
                  </w:tcBorders>
                  <w:vAlign w:val="center"/>
                </w:tcPr>
                <w:p>
                  <w:pPr>
                    <w:adjustRightInd w:val="0"/>
                    <w:snapToGrid w:val="0"/>
                    <w:jc w:val="center"/>
                    <w:rPr>
                      <w:rFonts w:hint="default"/>
                      <w:color w:val="auto"/>
                      <w:sz w:val="18"/>
                      <w:szCs w:val="18"/>
                      <w:lang w:val="en-US" w:eastAsia="zh-CN"/>
                    </w:rPr>
                  </w:pPr>
                  <w:r>
                    <w:rPr>
                      <w:rFonts w:hint="eastAsia" w:ascii="Times New Roman" w:hAnsi="Times New Roman" w:eastAsia="宋体" w:cs="Times New Roman"/>
                      <w:color w:val="auto"/>
                      <w:kern w:val="0"/>
                      <w:sz w:val="18"/>
                      <w:szCs w:val="18"/>
                      <w:lang w:val="en-US" w:eastAsia="zh-CN"/>
                    </w:rPr>
                    <w:t>0.40018</w:t>
                  </w:r>
                </w:p>
              </w:tc>
              <w:tc>
                <w:tcPr>
                  <w:tcW w:w="874" w:type="dxa"/>
                  <w:tcBorders>
                    <w:tl2br w:val="nil"/>
                    <w:tr2bl w:val="nil"/>
                  </w:tcBorders>
                  <w:vAlign w:val="center"/>
                </w:tcPr>
                <w:p>
                  <w:pPr>
                    <w:adjustRightInd w:val="0"/>
                    <w:snapToGrid w:val="0"/>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+0.37168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NH3-N</w:t>
                  </w:r>
                </w:p>
              </w:tc>
              <w:tc>
                <w:tcPr>
                  <w:tcW w:w="741" w:type="pct"/>
                  <w:tcBorders>
                    <w:tl2br w:val="nil"/>
                    <w:tr2bl w:val="nil"/>
                  </w:tcBorders>
                  <w:vAlign w:val="center"/>
                </w:tcPr>
                <w:p>
                  <w:pPr>
                    <w:spacing w:line="240" w:lineRule="auto"/>
                    <w:jc w:val="center"/>
                    <w:rPr>
                      <w:rFonts w:hint="eastAsia" w:cs="Times New Roman"/>
                      <w:color w:val="auto"/>
                      <w:sz w:val="18"/>
                      <w:szCs w:val="18"/>
                      <w:lang w:val="en-US" w:eastAsia="zh-CN" w:bidi="ar"/>
                    </w:rPr>
                  </w:pPr>
                  <w:r>
                    <w:rPr>
                      <w:rFonts w:hint="eastAsia" w:ascii="Times New Roman" w:hAnsi="Times New Roman" w:cs="Times New Roman"/>
                      <w:color w:val="auto"/>
                      <w:sz w:val="18"/>
                      <w:szCs w:val="18"/>
                      <w:lang w:val="en-US" w:eastAsia="zh-CN" w:bidi="ar"/>
                    </w:rPr>
                    <w:t>0.0041</w:t>
                  </w:r>
                </w:p>
              </w:tc>
              <w:tc>
                <w:tcPr>
                  <w:tcW w:w="996" w:type="dxa"/>
                  <w:tcBorders>
                    <w:tl2br w:val="nil"/>
                    <w:tr2bl w:val="nil"/>
                  </w:tcBorders>
                  <w:vAlign w:val="center"/>
                </w:tcPr>
                <w:p>
                  <w:pPr>
                    <w:adjustRightInd w:val="0"/>
                    <w:snapToGrid w:val="0"/>
                    <w:jc w:val="center"/>
                    <w:rPr>
                      <w:rFonts w:hint="eastAsia"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0.048</w:t>
                  </w:r>
                </w:p>
              </w:tc>
              <w:tc>
                <w:tcPr>
                  <w:tcW w:w="1072" w:type="dxa"/>
                  <w:tcBorders>
                    <w:tl2br w:val="nil"/>
                    <w:tr2bl w:val="nil"/>
                  </w:tcBorders>
                  <w:vAlign w:val="center"/>
                </w:tcPr>
                <w:p>
                  <w:pPr>
                    <w:spacing w:line="240" w:lineRule="auto"/>
                    <w:jc w:val="center"/>
                    <w:rPr>
                      <w:rFonts w:hint="eastAsia" w:cs="Times New Roman"/>
                      <w:color w:val="auto"/>
                      <w:kern w:val="0"/>
                      <w:sz w:val="18"/>
                      <w:szCs w:val="18"/>
                      <w:lang w:val="en-US" w:eastAsia="zh-CN"/>
                    </w:rPr>
                  </w:pPr>
                  <w:r>
                    <w:rPr>
                      <w:rFonts w:hint="eastAsia" w:ascii="Times New Roman" w:hAnsi="Times New Roman" w:cs="Times New Roman"/>
                      <w:color w:val="auto"/>
                      <w:sz w:val="18"/>
                      <w:szCs w:val="18"/>
                      <w:lang w:val="en-US" w:eastAsia="zh-CN" w:bidi="ar"/>
                    </w:rPr>
                    <w:t>0.0041</w:t>
                  </w:r>
                </w:p>
              </w:tc>
              <w:tc>
                <w:tcPr>
                  <w:tcW w:w="907" w:type="dxa"/>
                  <w:tcBorders>
                    <w:tl2br w:val="nil"/>
                    <w:tr2bl w:val="nil"/>
                  </w:tcBorders>
                  <w:vAlign w:val="center"/>
                </w:tcPr>
                <w:p>
                  <w:pPr>
                    <w:adjustRightInd w:val="0"/>
                    <w:snapToGrid w:val="0"/>
                    <w:jc w:val="center"/>
                    <w:rPr>
                      <w:rFonts w:hint="eastAsia"/>
                      <w:color w:val="auto"/>
                      <w:sz w:val="18"/>
                      <w:szCs w:val="18"/>
                      <w:lang w:val="en-US" w:eastAsia="zh-CN"/>
                    </w:rPr>
                  </w:pPr>
                  <w:r>
                    <w:rPr>
                      <w:rFonts w:hint="eastAsia" w:ascii="Times New Roman" w:hAnsi="Times New Roman" w:eastAsia="宋体" w:cs="Times New Roman"/>
                      <w:color w:val="auto"/>
                      <w:kern w:val="0"/>
                      <w:sz w:val="18"/>
                      <w:szCs w:val="18"/>
                      <w:lang w:val="en-US" w:eastAsia="zh-CN"/>
                    </w:rPr>
                    <w:t>0.048</w:t>
                  </w:r>
                </w:p>
              </w:tc>
              <w:tc>
                <w:tcPr>
                  <w:tcW w:w="874" w:type="dxa"/>
                  <w:tcBorders>
                    <w:tl2br w:val="nil"/>
                    <w:tr2bl w:val="nil"/>
                  </w:tcBorders>
                  <w:vAlign w:val="center"/>
                </w:tcPr>
                <w:p>
                  <w:pPr>
                    <w:adjustRightInd w:val="0"/>
                    <w:snapToGrid w:val="0"/>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691" w:type="pct"/>
                  <w:vMerge w:val="continue"/>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p>
              </w:tc>
              <w:tc>
                <w:tcPr>
                  <w:tcW w:w="842"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TP</w:t>
                  </w:r>
                </w:p>
              </w:tc>
              <w:tc>
                <w:tcPr>
                  <w:tcW w:w="741" w:type="pct"/>
                  <w:tcBorders>
                    <w:tl2br w:val="nil"/>
                    <w:tr2bl w:val="nil"/>
                  </w:tcBorders>
                  <w:vAlign w:val="center"/>
                </w:tcPr>
                <w:p>
                  <w:pPr>
                    <w:spacing w:line="240" w:lineRule="auto"/>
                    <w:jc w:val="center"/>
                    <w:rPr>
                      <w:rFonts w:hint="eastAsia" w:cs="Times New Roman"/>
                      <w:color w:val="auto"/>
                      <w:sz w:val="18"/>
                      <w:szCs w:val="18"/>
                      <w:lang w:val="en-US" w:eastAsia="zh-CN" w:bidi="ar"/>
                    </w:rPr>
                  </w:pPr>
                  <w:r>
                    <w:rPr>
                      <w:rFonts w:hint="eastAsia" w:ascii="Times New Roman" w:hAnsi="Times New Roman" w:cs="Times New Roman"/>
                      <w:color w:val="auto"/>
                      <w:sz w:val="18"/>
                      <w:szCs w:val="18"/>
                      <w:lang w:val="en-US" w:eastAsia="zh-CN" w:bidi="ar"/>
                    </w:rPr>
                    <w:t>0.0027</w:t>
                  </w:r>
                </w:p>
              </w:tc>
              <w:tc>
                <w:tcPr>
                  <w:tcW w:w="996" w:type="dxa"/>
                  <w:tcBorders>
                    <w:tl2br w:val="nil"/>
                    <w:tr2bl w:val="nil"/>
                  </w:tcBorders>
                  <w:vAlign w:val="center"/>
                </w:tcPr>
                <w:p>
                  <w:pPr>
                    <w:adjustRightInd w:val="0"/>
                    <w:snapToGrid w:val="0"/>
                    <w:jc w:val="center"/>
                    <w:rPr>
                      <w:rFonts w:hint="eastAsia"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0.008</w:t>
                  </w:r>
                </w:p>
              </w:tc>
              <w:tc>
                <w:tcPr>
                  <w:tcW w:w="1072" w:type="dxa"/>
                  <w:tcBorders>
                    <w:tl2br w:val="nil"/>
                    <w:tr2bl w:val="nil"/>
                  </w:tcBorders>
                  <w:vAlign w:val="center"/>
                </w:tcPr>
                <w:p>
                  <w:pPr>
                    <w:spacing w:line="240" w:lineRule="auto"/>
                    <w:jc w:val="center"/>
                    <w:rPr>
                      <w:rFonts w:hint="eastAsia" w:cs="Times New Roman"/>
                      <w:color w:val="auto"/>
                      <w:kern w:val="0"/>
                      <w:sz w:val="18"/>
                      <w:szCs w:val="18"/>
                      <w:lang w:val="en-US" w:eastAsia="zh-CN"/>
                    </w:rPr>
                  </w:pPr>
                  <w:r>
                    <w:rPr>
                      <w:rFonts w:hint="eastAsia" w:ascii="Times New Roman" w:hAnsi="Times New Roman" w:cs="Times New Roman"/>
                      <w:color w:val="auto"/>
                      <w:sz w:val="18"/>
                      <w:szCs w:val="18"/>
                      <w:lang w:val="en-US" w:eastAsia="zh-CN" w:bidi="ar"/>
                    </w:rPr>
                    <w:t>0.0027</w:t>
                  </w:r>
                </w:p>
              </w:tc>
              <w:tc>
                <w:tcPr>
                  <w:tcW w:w="907" w:type="dxa"/>
                  <w:tcBorders>
                    <w:tl2br w:val="nil"/>
                    <w:tr2bl w:val="nil"/>
                  </w:tcBorders>
                  <w:vAlign w:val="center"/>
                </w:tcPr>
                <w:p>
                  <w:pPr>
                    <w:adjustRightInd w:val="0"/>
                    <w:snapToGrid w:val="0"/>
                    <w:jc w:val="center"/>
                    <w:rPr>
                      <w:rFonts w:hint="eastAsia"/>
                      <w:color w:val="auto"/>
                      <w:sz w:val="18"/>
                      <w:szCs w:val="18"/>
                      <w:lang w:val="en-US" w:eastAsia="zh-CN"/>
                    </w:rPr>
                  </w:pPr>
                  <w:r>
                    <w:rPr>
                      <w:rFonts w:hint="eastAsia" w:ascii="Times New Roman" w:hAnsi="Times New Roman" w:eastAsia="宋体" w:cs="Times New Roman"/>
                      <w:color w:val="auto"/>
                      <w:kern w:val="0"/>
                      <w:sz w:val="18"/>
                      <w:szCs w:val="18"/>
                      <w:lang w:val="en-US" w:eastAsia="zh-CN"/>
                    </w:rPr>
                    <w:t>0.008</w:t>
                  </w:r>
                </w:p>
              </w:tc>
              <w:tc>
                <w:tcPr>
                  <w:tcW w:w="874" w:type="dxa"/>
                  <w:tcBorders>
                    <w:tl2br w:val="nil"/>
                    <w:tr2bl w:val="nil"/>
                  </w:tcBorders>
                  <w:vAlign w:val="center"/>
                </w:tcPr>
                <w:p>
                  <w:pPr>
                    <w:adjustRightInd w:val="0"/>
                    <w:snapToGrid w:val="0"/>
                    <w:jc w:val="center"/>
                    <w:rPr>
                      <w:rFonts w:hint="eastAsia" w:cs="Times New Roman"/>
                      <w:color w:val="auto"/>
                      <w:kern w:val="0"/>
                      <w:sz w:val="18"/>
                      <w:szCs w:val="18"/>
                      <w:lang w:val="en-US" w:eastAsia="zh-CN"/>
                    </w:rPr>
                  </w:pPr>
                  <w:r>
                    <w:rPr>
                      <w:rFonts w:hint="eastAsia" w:cs="Times New Roman"/>
                      <w:color w:val="auto"/>
                      <w:kern w:val="0"/>
                      <w:sz w:val="18"/>
                      <w:szCs w:val="18"/>
                      <w:lang w:val="en-US" w:eastAsia="zh-CN"/>
                    </w:rPr>
                    <w:t>+0.0053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restart"/>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18"/>
                      <w:szCs w:val="18"/>
                      <w:lang w:eastAsia="zh-CN"/>
                    </w:rPr>
                  </w:pPr>
                  <w:r>
                    <w:rPr>
                      <w:rFonts w:hint="default" w:ascii="Times New Roman" w:hAnsi="Times New Roman" w:cs="Times New Roman"/>
                      <w:kern w:val="0"/>
                      <w:sz w:val="18"/>
                      <w:szCs w:val="18"/>
                      <w:lang w:eastAsia="zh-CN"/>
                    </w:rPr>
                    <w:t>固废</w:t>
                  </w:r>
                </w:p>
              </w:tc>
              <w:tc>
                <w:tcPr>
                  <w:tcW w:w="1533" w:type="pct"/>
                  <w:gridSpan w:val="2"/>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highlight w:val="none"/>
                      <w:lang w:eastAsia="zh-CN"/>
                    </w:rPr>
                    <w:t>危险固废</w:t>
                  </w:r>
                </w:p>
              </w:tc>
              <w:tc>
                <w:tcPr>
                  <w:tcW w:w="741" w:type="pct"/>
                  <w:tcBorders>
                    <w:tl2br w:val="nil"/>
                    <w:tr2bl w:val="nil"/>
                  </w:tcBorders>
                  <w:vAlign w:val="center"/>
                </w:tcPr>
                <w:p>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rPr>
                    <w:t>0</w:t>
                  </w:r>
                </w:p>
              </w:tc>
              <w:tc>
                <w:tcPr>
                  <w:tcW w:w="606" w:type="pct"/>
                  <w:tcBorders>
                    <w:tl2br w:val="nil"/>
                    <w:tr2bl w:val="nil"/>
                  </w:tcBorders>
                  <w:vAlign w:val="center"/>
                </w:tcPr>
                <w:p>
                  <w:pPr>
                    <w:adjustRightInd w:val="0"/>
                    <w:snapToGrid w:val="0"/>
                    <w:jc w:val="center"/>
                    <w:rPr>
                      <w:rFonts w:hint="default" w:ascii="Times New Roman" w:hAnsi="Times New Roman" w:cs="Times New Roman"/>
                      <w:sz w:val="18"/>
                      <w:szCs w:val="18"/>
                      <w:lang w:val="en-US" w:eastAsia="zh-CN"/>
                    </w:rPr>
                  </w:pPr>
                  <w:r>
                    <w:rPr>
                      <w:rFonts w:hint="eastAsia" w:cs="Times New Roman"/>
                      <w:kern w:val="0"/>
                      <w:sz w:val="18"/>
                      <w:szCs w:val="18"/>
                      <w:lang w:val="en-US" w:eastAsia="zh-CN"/>
                    </w:rPr>
                    <w:t>0</w:t>
                  </w:r>
                </w:p>
              </w:tc>
              <w:tc>
                <w:tcPr>
                  <w:tcW w:w="652"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0</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eastAsia" w:cs="Times New Roman"/>
                      <w:kern w:val="0"/>
                      <w:sz w:val="18"/>
                      <w:szCs w:val="18"/>
                      <w:lang w:val="en-US" w:eastAsia="zh-CN"/>
                    </w:rPr>
                    <w:t>0</w:t>
                  </w:r>
                </w:p>
              </w:tc>
              <w:tc>
                <w:tcPr>
                  <w:tcW w:w="531"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1533" w:type="pct"/>
                  <w:gridSpan w:val="2"/>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eastAsia="zh-CN"/>
                    </w:rPr>
                    <w:t>一般固废</w:t>
                  </w:r>
                </w:p>
              </w:tc>
              <w:tc>
                <w:tcPr>
                  <w:tcW w:w="741" w:type="pct"/>
                  <w:tcBorders>
                    <w:tl2br w:val="nil"/>
                    <w:tr2bl w:val="nil"/>
                  </w:tcBorders>
                  <w:vAlign w:val="center"/>
                </w:tcPr>
                <w:p>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rPr>
                    <w:t>0</w:t>
                  </w:r>
                </w:p>
              </w:tc>
              <w:tc>
                <w:tcPr>
                  <w:tcW w:w="606" w:type="pct"/>
                  <w:tcBorders>
                    <w:tl2br w:val="nil"/>
                    <w:tr2bl w:val="nil"/>
                  </w:tcBorders>
                  <w:vAlign w:val="center"/>
                </w:tcPr>
                <w:p>
                  <w:pPr>
                    <w:adjustRightInd w:val="0"/>
                    <w:snapToGrid w:val="0"/>
                    <w:jc w:val="center"/>
                    <w:rPr>
                      <w:rFonts w:hint="default" w:ascii="Times New Roman" w:hAnsi="Times New Roman" w:cs="Times New Roman"/>
                      <w:sz w:val="18"/>
                      <w:szCs w:val="18"/>
                      <w:lang w:val="en-US" w:eastAsia="zh-CN"/>
                    </w:rPr>
                  </w:pPr>
                  <w:r>
                    <w:rPr>
                      <w:rFonts w:hint="eastAsia" w:cs="Times New Roman"/>
                      <w:kern w:val="0"/>
                      <w:sz w:val="18"/>
                      <w:szCs w:val="18"/>
                      <w:lang w:val="en-US" w:eastAsia="zh-CN"/>
                    </w:rPr>
                    <w:t>0</w:t>
                  </w:r>
                </w:p>
              </w:tc>
              <w:tc>
                <w:tcPr>
                  <w:tcW w:w="652"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0</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eastAsia" w:cs="Times New Roman"/>
                      <w:kern w:val="0"/>
                      <w:sz w:val="18"/>
                      <w:szCs w:val="18"/>
                      <w:lang w:val="en-US" w:eastAsia="zh-CN"/>
                    </w:rPr>
                    <w:t>0</w:t>
                  </w:r>
                </w:p>
              </w:tc>
              <w:tc>
                <w:tcPr>
                  <w:tcW w:w="531"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82" w:type="pct"/>
                  <w:vMerge w:val="continue"/>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p>
              </w:tc>
              <w:tc>
                <w:tcPr>
                  <w:tcW w:w="1533" w:type="pct"/>
                  <w:gridSpan w:val="2"/>
                  <w:tcBorders>
                    <w:tl2br w:val="nil"/>
                    <w:tr2bl w:val="nil"/>
                  </w:tcBorders>
                  <w:vAlign w:val="center"/>
                </w:tcPr>
                <w:p>
                  <w:pPr>
                    <w:widowControl/>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lang w:eastAsia="zh-CN"/>
                    </w:rPr>
                    <w:t>生活垃圾</w:t>
                  </w:r>
                </w:p>
              </w:tc>
              <w:tc>
                <w:tcPr>
                  <w:tcW w:w="741" w:type="pct"/>
                  <w:tcBorders>
                    <w:tl2br w:val="nil"/>
                    <w:tr2bl w:val="nil"/>
                  </w:tcBorders>
                  <w:vAlign w:val="center"/>
                </w:tcPr>
                <w:p>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rPr>
                    <w:t>0</w:t>
                  </w:r>
                </w:p>
              </w:tc>
              <w:tc>
                <w:tcPr>
                  <w:tcW w:w="606" w:type="pct"/>
                  <w:tcBorders>
                    <w:tl2br w:val="nil"/>
                    <w:tr2bl w:val="nil"/>
                  </w:tcBorders>
                  <w:vAlign w:val="center"/>
                </w:tcPr>
                <w:p>
                  <w:pPr>
                    <w:adjustRightInd w:val="0"/>
                    <w:snapToGrid w:val="0"/>
                    <w:jc w:val="center"/>
                    <w:rPr>
                      <w:rFonts w:hint="default" w:ascii="Times New Roman" w:hAnsi="Times New Roman" w:cs="Times New Roman"/>
                      <w:sz w:val="18"/>
                      <w:szCs w:val="18"/>
                      <w:lang w:val="en-US" w:eastAsia="zh-CN"/>
                    </w:rPr>
                  </w:pPr>
                  <w:r>
                    <w:rPr>
                      <w:rFonts w:hint="eastAsia" w:cs="Times New Roman"/>
                      <w:kern w:val="0"/>
                      <w:sz w:val="18"/>
                      <w:szCs w:val="18"/>
                      <w:lang w:val="en-US" w:eastAsia="zh-CN"/>
                    </w:rPr>
                    <w:t>0</w:t>
                  </w:r>
                </w:p>
              </w:tc>
              <w:tc>
                <w:tcPr>
                  <w:tcW w:w="652" w:type="pct"/>
                  <w:tcBorders>
                    <w:tl2br w:val="nil"/>
                    <w:tr2bl w:val="nil"/>
                  </w:tcBorders>
                  <w:vAlign w:val="center"/>
                </w:tcPr>
                <w:p>
                  <w:pPr>
                    <w:adjustRightInd w:val="0"/>
                    <w:snapToGrid w:val="0"/>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0</w:t>
                  </w:r>
                </w:p>
              </w:tc>
              <w:tc>
                <w:tcPr>
                  <w:tcW w:w="552"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eastAsia" w:cs="Times New Roman"/>
                      <w:kern w:val="0"/>
                      <w:sz w:val="18"/>
                      <w:szCs w:val="18"/>
                      <w:lang w:val="en-US" w:eastAsia="zh-CN"/>
                    </w:rPr>
                    <w:t>0</w:t>
                  </w:r>
                </w:p>
              </w:tc>
              <w:tc>
                <w:tcPr>
                  <w:tcW w:w="531" w:type="pct"/>
                  <w:tcBorders>
                    <w:tl2br w:val="nil"/>
                    <w:tr2bl w:val="nil"/>
                  </w:tcBorders>
                  <w:vAlign w:val="center"/>
                </w:tcPr>
                <w:p>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kern w:val="0"/>
                      <w:sz w:val="18"/>
                      <w:szCs w:val="18"/>
                      <w:lang w:val="en-US" w:eastAsia="zh-CN"/>
                    </w:rPr>
                    <w:t>0</w:t>
                  </w:r>
                </w:p>
              </w:tc>
            </w:tr>
          </w:tbl>
          <w:p>
            <w:pPr>
              <w:keepNext w:val="0"/>
              <w:keepLines w:val="0"/>
              <w:pageBreakBefore w:val="0"/>
              <w:widowControl w:val="0"/>
              <w:kinsoku/>
              <w:wordWrap/>
              <w:overflowPunct/>
              <w:topLinePunct w:val="0"/>
              <w:autoSpaceDE/>
              <w:autoSpaceDN/>
              <w:bidi w:val="0"/>
              <w:adjustRightInd/>
              <w:snapToGrid w:val="0"/>
              <w:spacing w:line="240" w:lineRule="auto"/>
              <w:ind w:firstLine="360" w:firstLineChars="200"/>
              <w:textAlignment w:val="auto"/>
              <w:rPr>
                <w:rFonts w:hint="eastAsia" w:ascii="Times New Roman" w:hAnsi="Times New Roman" w:eastAsia="宋体" w:cs="Times New Roman"/>
                <w:color w:val="auto"/>
                <w:sz w:val="18"/>
                <w:szCs w:val="18"/>
                <w:lang w:eastAsia="zh-CN"/>
              </w:rPr>
            </w:pPr>
            <w:r>
              <w:rPr>
                <w:rFonts w:hint="eastAsia" w:cs="Times New Roman"/>
                <w:color w:val="auto"/>
                <w:kern w:val="0"/>
                <w:sz w:val="18"/>
                <w:szCs w:val="18"/>
                <w:lang w:val="en-US" w:eastAsia="zh-CN"/>
              </w:rPr>
              <w:t>注：技改</w:t>
            </w:r>
            <w:r>
              <w:rPr>
                <w:rFonts w:hint="default" w:ascii="Times New Roman" w:hAnsi="Times New Roman" w:cs="Times New Roman"/>
                <w:color w:val="auto"/>
                <w:kern w:val="0"/>
                <w:sz w:val="18"/>
                <w:szCs w:val="18"/>
              </w:rPr>
              <w:t>后企业</w:t>
            </w:r>
            <w:r>
              <w:rPr>
                <w:rFonts w:hint="eastAsia" w:cs="Times New Roman"/>
                <w:color w:val="auto"/>
                <w:kern w:val="0"/>
                <w:sz w:val="18"/>
                <w:szCs w:val="18"/>
                <w:lang w:val="en-US" w:eastAsia="zh-CN"/>
              </w:rPr>
              <w:t>对员工工作时间</w:t>
            </w:r>
            <w:r>
              <w:rPr>
                <w:rFonts w:hint="default" w:ascii="Times New Roman" w:hAnsi="Times New Roman" w:cs="Times New Roman"/>
                <w:color w:val="auto"/>
                <w:kern w:val="0"/>
                <w:sz w:val="18"/>
                <w:szCs w:val="18"/>
              </w:rPr>
              <w:t>进行</w:t>
            </w:r>
            <w:r>
              <w:rPr>
                <w:rFonts w:hint="eastAsia" w:cs="Times New Roman"/>
                <w:color w:val="auto"/>
                <w:kern w:val="0"/>
                <w:sz w:val="18"/>
                <w:szCs w:val="18"/>
                <w:lang w:val="en-US" w:eastAsia="zh-CN"/>
              </w:rPr>
              <w:t>调控</w:t>
            </w:r>
            <w:r>
              <w:rPr>
                <w:rFonts w:hint="default" w:ascii="Times New Roman" w:hAnsi="Times New Roman" w:cs="Times New Roman"/>
                <w:color w:val="auto"/>
                <w:kern w:val="0"/>
                <w:sz w:val="18"/>
                <w:szCs w:val="18"/>
              </w:rPr>
              <w:t>，</w:t>
            </w:r>
            <w:r>
              <w:rPr>
                <w:rFonts w:hint="eastAsia" w:cs="Times New Roman"/>
                <w:color w:val="auto"/>
                <w:kern w:val="0"/>
                <w:sz w:val="18"/>
                <w:szCs w:val="18"/>
                <w:lang w:val="en-US" w:eastAsia="zh-CN"/>
              </w:rPr>
              <w:t>员工产生的生活废水和生活垃圾减少</w:t>
            </w:r>
            <w:r>
              <w:rPr>
                <w:rFonts w:hint="eastAsia" w:cs="Times New Roman"/>
                <w:color w:val="auto"/>
                <w:kern w:val="0"/>
                <w:sz w:val="18"/>
                <w:szCs w:val="18"/>
                <w:lang w:eastAsia="zh-CN"/>
              </w:rPr>
              <w:t>。</w:t>
            </w:r>
          </w:p>
          <w:p>
            <w:pPr>
              <w:pStyle w:val="2"/>
              <w:keepNext/>
              <w:keepLines/>
              <w:pageBreakBefore w:val="0"/>
              <w:widowControl w:val="0"/>
              <w:kinsoku/>
              <w:wordWrap/>
              <w:overflowPunct/>
              <w:topLinePunct w:val="0"/>
              <w:autoSpaceDE/>
              <w:autoSpaceDN/>
              <w:bidi w:val="0"/>
              <w:adjustRightInd w:val="0"/>
              <w:snapToGrid/>
              <w:ind w:firstLine="360" w:firstLineChars="200"/>
              <w:textAlignment w:val="auto"/>
              <w:rPr>
                <w:rFonts w:hint="default" w:ascii="Times New Roman" w:hAnsi="Times New Roman" w:eastAsia="宋体" w:cs="Times New Roman"/>
                <w:color w:val="000000"/>
                <w:kern w:val="2"/>
                <w:sz w:val="28"/>
                <w:lang w:val="en-US" w:eastAsia="zh-CN" w:bidi="ar-SA"/>
              </w:rPr>
            </w:pPr>
            <w:r>
              <w:rPr>
                <w:rFonts w:hint="eastAsia" w:ascii="Times New Roman" w:hAnsi="Times New Roman" w:eastAsia="宋体" w:cs="Times New Roman"/>
                <w:color w:val="auto"/>
                <w:kern w:val="0"/>
                <w:sz w:val="18"/>
                <w:szCs w:val="18"/>
                <w:lang w:val="en-US" w:eastAsia="zh-CN" w:bidi="ar-SA"/>
              </w:rPr>
              <w:t>上述总量控制指标中，废气在园区范围平衡；水污染物排放总量纳入园区污水厂的总量范围内；固体废物实现零排放。</w:t>
            </w:r>
            <w:r>
              <w:rPr>
                <w:rFonts w:hint="eastAsia" w:ascii="Times New Roman" w:hAnsi="Times New Roman" w:cs="Times New Roman"/>
                <w:color w:val="auto"/>
                <w:kern w:val="0"/>
                <w:sz w:val="21"/>
                <w:szCs w:val="21"/>
                <w:lang w:val="en-US" w:eastAsia="zh-CN" w:bidi="ar-SA"/>
              </w:rPr>
              <w:t xml:space="preserve">                         </w:t>
            </w:r>
          </w:p>
        </w:tc>
      </w:tr>
    </w:tbl>
    <w:p>
      <w:pPr>
        <w:pStyle w:val="14"/>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6"/>
        <w:tblW w:w="86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7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81" w:hRule="atLeast"/>
          <w:jc w:val="center"/>
        </w:trPr>
        <w:tc>
          <w:tcPr>
            <w:tcW w:w="723" w:type="dxa"/>
            <w:noWrap w:val="0"/>
            <w:tcMar>
              <w:left w:w="28" w:type="dxa"/>
              <w:right w:w="28" w:type="dxa"/>
            </w:tcMar>
            <w:vAlign w:val="center"/>
          </w:tcPr>
          <w:p>
            <w:pPr>
              <w:adjustRightInd w:val="0"/>
              <w:snapToGrid w:val="0"/>
              <w:jc w:val="center"/>
              <w:rPr>
                <w:rFonts w:hint="eastAsia" w:ascii="宋体" w:hAnsi="宋体" w:cs="宋体"/>
                <w:bCs/>
                <w:szCs w:val="21"/>
              </w:rPr>
            </w:pPr>
            <w:r>
              <w:rPr>
                <w:rFonts w:hint="eastAsia" w:ascii="宋体" w:hAnsi="宋体" w:cs="宋体"/>
                <w:bCs/>
                <w:szCs w:val="21"/>
              </w:rPr>
              <w:t>运营</w:t>
            </w:r>
          </w:p>
          <w:p>
            <w:pPr>
              <w:adjustRightInd w:val="0"/>
              <w:snapToGrid w:val="0"/>
              <w:jc w:val="center"/>
              <w:rPr>
                <w:rFonts w:hint="eastAsia" w:ascii="宋体" w:hAnsi="宋体" w:cs="宋体"/>
                <w:bCs/>
                <w:szCs w:val="21"/>
              </w:rPr>
            </w:pPr>
            <w:r>
              <w:rPr>
                <w:rFonts w:hint="eastAsia" w:ascii="宋体" w:hAnsi="宋体" w:cs="宋体"/>
                <w:bCs/>
                <w:szCs w:val="21"/>
              </w:rPr>
              <w:t>期环</w:t>
            </w:r>
          </w:p>
          <w:p>
            <w:pPr>
              <w:adjustRightInd w:val="0"/>
              <w:snapToGrid w:val="0"/>
              <w:jc w:val="center"/>
              <w:rPr>
                <w:rFonts w:hint="eastAsia" w:ascii="宋体" w:hAnsi="宋体" w:cs="宋体"/>
                <w:bCs/>
                <w:szCs w:val="21"/>
              </w:rPr>
            </w:pPr>
            <w:r>
              <w:rPr>
                <w:rFonts w:hint="eastAsia" w:ascii="宋体" w:hAnsi="宋体" w:cs="宋体"/>
                <w:bCs/>
                <w:szCs w:val="21"/>
              </w:rPr>
              <w:t>境影</w:t>
            </w:r>
          </w:p>
          <w:p>
            <w:pPr>
              <w:adjustRightInd w:val="0"/>
              <w:snapToGrid w:val="0"/>
              <w:jc w:val="center"/>
              <w:rPr>
                <w:rFonts w:hint="eastAsia" w:ascii="宋体" w:hAnsi="宋体" w:cs="宋体"/>
                <w:bCs/>
                <w:szCs w:val="21"/>
              </w:rPr>
            </w:pPr>
            <w:r>
              <w:rPr>
                <w:rFonts w:hint="eastAsia" w:ascii="宋体" w:hAnsi="宋体" w:cs="宋体"/>
                <w:bCs/>
                <w:szCs w:val="21"/>
              </w:rPr>
              <w:t>响和</w:t>
            </w:r>
          </w:p>
          <w:p>
            <w:pPr>
              <w:adjustRightInd w:val="0"/>
              <w:snapToGrid w:val="0"/>
              <w:jc w:val="center"/>
              <w:rPr>
                <w:rFonts w:hint="eastAsia"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7936" w:type="dxa"/>
            <w:noWrap w:val="0"/>
            <w:vAlign w:val="center"/>
          </w:tcPr>
          <w:p>
            <w:pPr>
              <w:pStyle w:val="29"/>
              <w:keepNext w:val="0"/>
              <w:keepLines w:val="0"/>
              <w:pageBreakBefore w:val="0"/>
              <w:widowControl w:val="0"/>
              <w:numPr>
                <w:ilvl w:val="0"/>
                <w:numId w:val="5"/>
              </w:numPr>
              <w:kinsoku/>
              <w:wordWrap/>
              <w:overflowPunct/>
              <w:topLinePunct w:val="0"/>
              <w:autoSpaceDE/>
              <w:autoSpaceDN/>
              <w:bidi w:val="0"/>
              <w:adjustRightInd/>
              <w:snapToGrid/>
              <w:spacing w:line="360" w:lineRule="auto"/>
              <w:ind w:left="420" w:leftChars="0"/>
              <w:jc w:val="both"/>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物料平衡</w:t>
            </w:r>
          </w:p>
          <w:p>
            <w:pPr>
              <w:pStyle w:val="29"/>
              <w:keepNext w:val="0"/>
              <w:keepLines w:val="0"/>
              <w:pageBreakBefore w:val="0"/>
              <w:widowControl/>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s="Times New Roman"/>
                <w:b/>
                <w:bCs/>
                <w:sz w:val="21"/>
                <w:szCs w:val="21"/>
                <w:lang w:val="en-US"/>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4-1  本项目</w:t>
            </w:r>
            <w:r>
              <w:rPr>
                <w:rFonts w:hint="eastAsia" w:ascii="Times New Roman" w:hAnsi="Times New Roman" w:cs="Times New Roman"/>
                <w:b/>
                <w:bCs/>
                <w:sz w:val="21"/>
                <w:szCs w:val="21"/>
                <w:lang w:val="en-US" w:eastAsia="zh-CN"/>
              </w:rPr>
              <w:t>物料平衡</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188"/>
              <w:gridCol w:w="4087"/>
              <w:gridCol w:w="12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8" w:type="pct"/>
                  <w:gridSpan w:val="2"/>
                  <w:tcBorders>
                    <w:tl2br w:val="nil"/>
                    <w:tr2bl w:val="nil"/>
                  </w:tcBorders>
                  <w:vAlign w:val="center"/>
                </w:tcPr>
                <w:p>
                  <w:pPr>
                    <w:jc w:val="center"/>
                    <w:rPr>
                      <w:rFonts w:hint="eastAsia"/>
                      <w:b/>
                      <w:bCs/>
                      <w:sz w:val="18"/>
                      <w:szCs w:val="18"/>
                      <w:vertAlign w:val="baseline"/>
                      <w:lang w:val="en-US" w:eastAsia="zh-CN"/>
                    </w:rPr>
                  </w:pPr>
                  <w:r>
                    <w:rPr>
                      <w:rFonts w:hint="eastAsia"/>
                      <w:b/>
                      <w:bCs/>
                      <w:sz w:val="18"/>
                      <w:szCs w:val="18"/>
                      <w:vertAlign w:val="baseline"/>
                      <w:lang w:val="en-US" w:eastAsia="zh-CN"/>
                    </w:rPr>
                    <w:t>原料（t）</w:t>
                  </w:r>
                </w:p>
              </w:tc>
              <w:tc>
                <w:tcPr>
                  <w:tcW w:w="3451" w:type="pct"/>
                  <w:gridSpan w:val="2"/>
                  <w:tcBorders>
                    <w:tl2br w:val="nil"/>
                    <w:tr2bl w:val="nil"/>
                  </w:tcBorders>
                  <w:vAlign w:val="center"/>
                </w:tcPr>
                <w:p>
                  <w:pPr>
                    <w:jc w:val="center"/>
                    <w:rPr>
                      <w:rFonts w:hint="eastAsia"/>
                      <w:b/>
                      <w:bCs/>
                      <w:sz w:val="18"/>
                      <w:szCs w:val="18"/>
                      <w:vertAlign w:val="baseline"/>
                      <w:lang w:val="en-US" w:eastAsia="zh-CN"/>
                    </w:rPr>
                  </w:pPr>
                  <w:r>
                    <w:rPr>
                      <w:rFonts w:hint="eastAsia"/>
                      <w:b/>
                      <w:bCs/>
                      <w:sz w:val="18"/>
                      <w:szCs w:val="18"/>
                      <w:vertAlign w:val="baseline"/>
                      <w:lang w:val="en-US" w:eastAsia="zh-CN"/>
                    </w:rPr>
                    <w:t>产品与产污（t）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vAlign w:val="center"/>
                </w:tcPr>
                <w:p>
                  <w:pPr>
                    <w:jc w:val="center"/>
                    <w:rPr>
                      <w:rFonts w:hint="default"/>
                      <w:sz w:val="18"/>
                      <w:szCs w:val="18"/>
                      <w:vertAlign w:val="baseline"/>
                    </w:rPr>
                  </w:pPr>
                  <w:r>
                    <w:rPr>
                      <w:rFonts w:hint="eastAsia"/>
                      <w:bCs/>
                      <w:color w:val="auto"/>
                      <w:sz w:val="18"/>
                      <w:szCs w:val="18"/>
                    </w:rPr>
                    <w:t>PP</w:t>
                  </w:r>
                </w:p>
              </w:tc>
              <w:tc>
                <w:tcPr>
                  <w:tcW w:w="769" w:type="pct"/>
                  <w:tcBorders>
                    <w:tl2br w:val="nil"/>
                    <w:tr2bl w:val="nil"/>
                  </w:tcBorders>
                  <w:vAlign w:val="center"/>
                </w:tcPr>
                <w:p>
                  <w:pPr>
                    <w:jc w:val="center"/>
                    <w:rPr>
                      <w:rFonts w:hint="default"/>
                      <w:bCs/>
                      <w:color w:val="auto"/>
                      <w:sz w:val="18"/>
                      <w:szCs w:val="18"/>
                      <w:lang w:val="en-US"/>
                    </w:rPr>
                  </w:pPr>
                  <w:r>
                    <w:rPr>
                      <w:rFonts w:hint="eastAsia"/>
                      <w:bCs/>
                      <w:color w:val="auto"/>
                      <w:sz w:val="18"/>
                      <w:szCs w:val="18"/>
                      <w:lang w:val="en-US" w:eastAsia="zh-CN"/>
                    </w:rPr>
                    <w:t>30</w:t>
                  </w:r>
                </w:p>
              </w:tc>
              <w:tc>
                <w:tcPr>
                  <w:tcW w:w="264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sz w:val="18"/>
                      <w:szCs w:val="18"/>
                      <w:vertAlign w:val="baseline"/>
                    </w:rPr>
                  </w:pPr>
                  <w:r>
                    <w:rPr>
                      <w:rFonts w:hint="default" w:ascii="Times New Roman" w:hAnsi="Times New Roman" w:eastAsia="宋体" w:cs="Times New Roman"/>
                      <w:sz w:val="18"/>
                      <w:szCs w:val="18"/>
                      <w:lang w:eastAsia="zh-CN"/>
                    </w:rPr>
                    <w:t>塑料零</w:t>
                  </w:r>
                  <w:r>
                    <w:rPr>
                      <w:rFonts w:hint="eastAsia" w:cs="Times New Roman"/>
                      <w:sz w:val="18"/>
                      <w:szCs w:val="18"/>
                      <w:lang w:val="en-US" w:eastAsia="zh-CN"/>
                    </w:rPr>
                    <w:t>部</w:t>
                  </w:r>
                  <w:r>
                    <w:rPr>
                      <w:rFonts w:hint="default" w:ascii="Times New Roman" w:hAnsi="Times New Roman" w:eastAsia="宋体" w:cs="Times New Roman"/>
                      <w:sz w:val="18"/>
                      <w:szCs w:val="18"/>
                      <w:lang w:eastAsia="zh-CN"/>
                    </w:rPr>
                    <w:t>件</w:t>
                  </w:r>
                  <w:r>
                    <w:rPr>
                      <w:rFonts w:hint="eastAsia" w:cs="Times New Roman"/>
                      <w:sz w:val="18"/>
                      <w:szCs w:val="18"/>
                      <w:lang w:val="en-US" w:eastAsia="zh-CN"/>
                    </w:rPr>
                    <w:t>（汽车零部件、数据中心零部件）</w:t>
                  </w:r>
                </w:p>
              </w:tc>
              <w:tc>
                <w:tcPr>
                  <w:tcW w:w="804" w:type="pct"/>
                  <w:tcBorders>
                    <w:tl2br w:val="nil"/>
                    <w:tr2bl w:val="nil"/>
                  </w:tcBorders>
                  <w:vAlign w:val="center"/>
                </w:tcPr>
                <w:p>
                  <w:pPr>
                    <w:jc w:val="center"/>
                    <w:rPr>
                      <w:rFonts w:hint="eastAsia" w:eastAsia="宋体"/>
                      <w:sz w:val="18"/>
                      <w:szCs w:val="18"/>
                      <w:vertAlign w:val="baseline"/>
                      <w:lang w:val="en-US" w:eastAsia="zh-CN"/>
                    </w:rPr>
                  </w:pPr>
                  <w:r>
                    <w:rPr>
                      <w:rFonts w:hint="eastAsia"/>
                      <w:sz w:val="18"/>
                      <w:szCs w:val="18"/>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vAlign w:val="center"/>
                </w:tcPr>
                <w:p>
                  <w:pPr>
                    <w:jc w:val="center"/>
                    <w:rPr>
                      <w:rFonts w:hint="default"/>
                      <w:sz w:val="18"/>
                      <w:szCs w:val="18"/>
                      <w:vertAlign w:val="baseline"/>
                    </w:rPr>
                  </w:pPr>
                  <w:r>
                    <w:rPr>
                      <w:rFonts w:hint="eastAsia"/>
                      <w:bCs/>
                      <w:color w:val="auto"/>
                      <w:sz w:val="18"/>
                      <w:szCs w:val="18"/>
                    </w:rPr>
                    <w:t>PE</w:t>
                  </w:r>
                </w:p>
              </w:tc>
              <w:tc>
                <w:tcPr>
                  <w:tcW w:w="769" w:type="pct"/>
                  <w:tcBorders>
                    <w:tl2br w:val="nil"/>
                    <w:tr2bl w:val="nil"/>
                  </w:tcBorders>
                  <w:vAlign w:val="center"/>
                </w:tcPr>
                <w:p>
                  <w:pPr>
                    <w:jc w:val="center"/>
                    <w:rPr>
                      <w:rFonts w:hint="eastAsia"/>
                      <w:bCs/>
                      <w:color w:val="auto"/>
                      <w:sz w:val="18"/>
                      <w:szCs w:val="18"/>
                    </w:rPr>
                  </w:pPr>
                  <w:r>
                    <w:rPr>
                      <w:rFonts w:hint="eastAsia"/>
                      <w:bCs/>
                      <w:color w:val="auto"/>
                      <w:sz w:val="18"/>
                      <w:szCs w:val="18"/>
                      <w:lang w:val="en-US" w:eastAsia="zh-CN"/>
                    </w:rPr>
                    <w:t>5</w:t>
                  </w:r>
                </w:p>
              </w:tc>
              <w:tc>
                <w:tcPr>
                  <w:tcW w:w="2647" w:type="pct"/>
                  <w:tcBorders>
                    <w:tl2br w:val="nil"/>
                    <w:tr2bl w:val="nil"/>
                  </w:tcBorders>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sz w:val="18"/>
                      <w:szCs w:val="18"/>
                      <w:vertAlign w:val="baseline"/>
                    </w:rPr>
                  </w:pPr>
                  <w:r>
                    <w:rPr>
                      <w:rFonts w:hint="eastAsia" w:ascii="Times New Roman" w:hAnsi="Times New Roman" w:eastAsia="宋体" w:cs="Times New Roman"/>
                      <w:kern w:val="2"/>
                      <w:sz w:val="18"/>
                      <w:szCs w:val="18"/>
                      <w:highlight w:val="none"/>
                      <w:lang w:val="en-US" w:eastAsia="zh-CN" w:bidi="ar-SA"/>
                    </w:rPr>
                    <w:t>牙科耗材</w:t>
                  </w:r>
                </w:p>
              </w:tc>
              <w:tc>
                <w:tcPr>
                  <w:tcW w:w="804" w:type="pct"/>
                  <w:tcBorders>
                    <w:tl2br w:val="nil"/>
                    <w:tr2bl w:val="nil"/>
                  </w:tcBorders>
                  <w:vAlign w:val="center"/>
                </w:tcPr>
                <w:p>
                  <w:pPr>
                    <w:jc w:val="center"/>
                    <w:rPr>
                      <w:rFonts w:hint="default" w:eastAsia="宋体"/>
                      <w:sz w:val="18"/>
                      <w:szCs w:val="18"/>
                      <w:vertAlign w:val="baseline"/>
                      <w:lang w:val="en-US" w:eastAsia="zh-CN"/>
                    </w:rPr>
                  </w:pPr>
                  <w:r>
                    <w:rPr>
                      <w:rFonts w:hint="eastAsia"/>
                      <w:sz w:val="18"/>
                      <w:szCs w:val="18"/>
                      <w:vertAlign w:val="baseline"/>
                      <w:lang w:val="en-US" w:eastAsia="zh-CN"/>
                    </w:rPr>
                    <w:t>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vAlign w:val="center"/>
                </w:tcPr>
                <w:p>
                  <w:pPr>
                    <w:jc w:val="center"/>
                    <w:rPr>
                      <w:rFonts w:hint="default"/>
                      <w:sz w:val="18"/>
                      <w:szCs w:val="18"/>
                      <w:vertAlign w:val="baseline"/>
                    </w:rPr>
                  </w:pPr>
                </w:p>
              </w:tc>
              <w:tc>
                <w:tcPr>
                  <w:tcW w:w="769" w:type="pct"/>
                  <w:tcBorders>
                    <w:tl2br w:val="nil"/>
                    <w:tr2bl w:val="nil"/>
                  </w:tcBorders>
                  <w:vAlign w:val="center"/>
                </w:tcPr>
                <w:p>
                  <w:pPr>
                    <w:jc w:val="center"/>
                    <w:rPr>
                      <w:rFonts w:hint="eastAsia"/>
                      <w:bCs/>
                      <w:color w:val="auto"/>
                      <w:sz w:val="18"/>
                      <w:szCs w:val="18"/>
                    </w:rPr>
                  </w:pPr>
                </w:p>
              </w:tc>
              <w:tc>
                <w:tcPr>
                  <w:tcW w:w="2647" w:type="pct"/>
                  <w:tcBorders>
                    <w:tl2br w:val="nil"/>
                    <w:tr2bl w:val="nil"/>
                  </w:tcBorders>
                  <w:vAlign w:val="center"/>
                </w:tcPr>
                <w:p>
                  <w:pPr>
                    <w:pStyle w:val="44"/>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sz w:val="18"/>
                      <w:szCs w:val="18"/>
                      <w:vertAlign w:val="baseline"/>
                    </w:rPr>
                  </w:pPr>
                  <w:r>
                    <w:rPr>
                      <w:rFonts w:hint="eastAsia" w:ascii="Times New Roman" w:hAnsi="Times New Roman" w:eastAsia="宋体" w:cs="Times New Roman"/>
                      <w:kern w:val="2"/>
                      <w:sz w:val="18"/>
                      <w:szCs w:val="18"/>
                      <w:lang w:val="en-US" w:eastAsia="zh-CN" w:bidi="ar-SA"/>
                    </w:rPr>
                    <w:t>外科医用耗材</w:t>
                  </w:r>
                </w:p>
              </w:tc>
              <w:tc>
                <w:tcPr>
                  <w:tcW w:w="804" w:type="pct"/>
                  <w:tcBorders>
                    <w:tl2br w:val="nil"/>
                    <w:tr2bl w:val="nil"/>
                  </w:tcBorders>
                  <w:vAlign w:val="center"/>
                </w:tcPr>
                <w:p>
                  <w:pPr>
                    <w:jc w:val="center"/>
                    <w:rPr>
                      <w:rFonts w:hint="default" w:eastAsia="宋体"/>
                      <w:sz w:val="18"/>
                      <w:szCs w:val="18"/>
                      <w:vertAlign w:val="baseline"/>
                      <w:lang w:val="en-US" w:eastAsia="zh-CN"/>
                    </w:rPr>
                  </w:pPr>
                  <w:r>
                    <w:rPr>
                      <w:rFonts w:hint="eastAsia"/>
                      <w:sz w:val="18"/>
                      <w:szCs w:val="18"/>
                      <w:vertAlign w:val="baseline"/>
                      <w:lang w:val="en-US" w:eastAsia="zh-CN"/>
                    </w:rPr>
                    <w:t>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vAlign w:val="center"/>
                </w:tcPr>
                <w:p>
                  <w:pPr>
                    <w:jc w:val="center"/>
                    <w:rPr>
                      <w:rFonts w:hint="default"/>
                      <w:sz w:val="18"/>
                      <w:szCs w:val="18"/>
                      <w:vertAlign w:val="baseline"/>
                    </w:rPr>
                  </w:pPr>
                </w:p>
              </w:tc>
              <w:tc>
                <w:tcPr>
                  <w:tcW w:w="769" w:type="pct"/>
                  <w:tcBorders>
                    <w:tl2br w:val="nil"/>
                    <w:tr2bl w:val="nil"/>
                  </w:tcBorders>
                  <w:vAlign w:val="center"/>
                </w:tcPr>
                <w:p>
                  <w:pPr>
                    <w:jc w:val="center"/>
                    <w:rPr>
                      <w:rFonts w:hint="eastAsia"/>
                      <w:bCs/>
                      <w:color w:val="auto"/>
                      <w:sz w:val="18"/>
                      <w:szCs w:val="18"/>
                    </w:rPr>
                  </w:pPr>
                </w:p>
              </w:tc>
              <w:tc>
                <w:tcPr>
                  <w:tcW w:w="2647" w:type="pct"/>
                  <w:tcBorders>
                    <w:tl2br w:val="nil"/>
                    <w:tr2bl w:val="nil"/>
                  </w:tcBorders>
                  <w:vAlign w:val="center"/>
                </w:tcPr>
                <w:p>
                  <w:pPr>
                    <w:jc w:val="center"/>
                    <w:rPr>
                      <w:rFonts w:hint="default"/>
                      <w:sz w:val="18"/>
                      <w:szCs w:val="18"/>
                      <w:vertAlign w:val="baseline"/>
                    </w:rPr>
                  </w:pPr>
                  <w:r>
                    <w:rPr>
                      <w:rFonts w:hint="eastAsia" w:ascii="Times New Roman" w:hAnsi="Times New Roman" w:cs="Times New Roman"/>
                      <w:sz w:val="18"/>
                      <w:szCs w:val="18"/>
                      <w:lang w:val="en-US" w:eastAsia="zh-CN"/>
                    </w:rPr>
                    <w:t>废塑料</w:t>
                  </w:r>
                </w:p>
              </w:tc>
              <w:tc>
                <w:tcPr>
                  <w:tcW w:w="804" w:type="pct"/>
                  <w:tcBorders>
                    <w:tl2br w:val="nil"/>
                    <w:tr2bl w:val="nil"/>
                  </w:tcBorders>
                  <w:vAlign w:val="center"/>
                </w:tcPr>
                <w:p>
                  <w:pPr>
                    <w:jc w:val="center"/>
                    <w:rPr>
                      <w:rFonts w:hint="default" w:eastAsia="宋体"/>
                      <w:sz w:val="18"/>
                      <w:szCs w:val="18"/>
                      <w:vertAlign w:val="baseline"/>
                      <w:lang w:val="en-US" w:eastAsia="zh-CN"/>
                    </w:rPr>
                  </w:pPr>
                  <w:r>
                    <w:rPr>
                      <w:rFonts w:hint="eastAsia"/>
                      <w:sz w:val="18"/>
                      <w:szCs w:val="18"/>
                      <w:vertAlign w:val="baseline"/>
                      <w:lang w:val="en-US" w:eastAsia="zh-CN"/>
                    </w:rPr>
                    <w:t>0.905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vAlign w:val="center"/>
                </w:tcPr>
                <w:p>
                  <w:pPr>
                    <w:jc w:val="center"/>
                    <w:rPr>
                      <w:rFonts w:hint="default"/>
                      <w:sz w:val="18"/>
                      <w:szCs w:val="18"/>
                      <w:vertAlign w:val="baseline"/>
                    </w:rPr>
                  </w:pPr>
                </w:p>
              </w:tc>
              <w:tc>
                <w:tcPr>
                  <w:tcW w:w="769" w:type="pct"/>
                  <w:tcBorders>
                    <w:tl2br w:val="nil"/>
                    <w:tr2bl w:val="nil"/>
                  </w:tcBorders>
                  <w:vAlign w:val="center"/>
                </w:tcPr>
                <w:p>
                  <w:pPr>
                    <w:jc w:val="center"/>
                    <w:rPr>
                      <w:rFonts w:hint="default"/>
                      <w:sz w:val="18"/>
                      <w:szCs w:val="18"/>
                      <w:vertAlign w:val="baseline"/>
                    </w:rPr>
                  </w:pPr>
                </w:p>
              </w:tc>
              <w:tc>
                <w:tcPr>
                  <w:tcW w:w="2647" w:type="pct"/>
                  <w:tcBorders>
                    <w:tl2br w:val="nil"/>
                    <w:tr2bl w:val="nil"/>
                  </w:tcBorders>
                  <w:vAlign w:val="center"/>
                </w:tcPr>
                <w:p>
                  <w:pPr>
                    <w:jc w:val="center"/>
                    <w:rPr>
                      <w:rFonts w:hint="default"/>
                      <w:sz w:val="18"/>
                      <w:szCs w:val="18"/>
                      <w:vertAlign w:val="baseline"/>
                    </w:rPr>
                  </w:pPr>
                  <w:r>
                    <w:rPr>
                      <w:rFonts w:hint="eastAsia" w:ascii="Times New Roman" w:hAnsi="Times New Roman" w:eastAsia="宋体" w:cs="Times New Roman"/>
                      <w:sz w:val="18"/>
                      <w:szCs w:val="18"/>
                      <w:lang w:val="en-US" w:eastAsia="zh-CN"/>
                    </w:rPr>
                    <w:t>非甲烷总烃</w:t>
                  </w:r>
                </w:p>
              </w:tc>
              <w:tc>
                <w:tcPr>
                  <w:tcW w:w="804" w:type="pct"/>
                  <w:tcBorders>
                    <w:tl2br w:val="nil"/>
                    <w:tr2bl w:val="nil"/>
                  </w:tcBorders>
                  <w:vAlign w:val="center"/>
                </w:tcPr>
                <w:p>
                  <w:pPr>
                    <w:jc w:val="center"/>
                    <w:rPr>
                      <w:rFonts w:hint="default"/>
                      <w:sz w:val="18"/>
                      <w:szCs w:val="18"/>
                      <w:vertAlign w:val="baseline"/>
                    </w:rPr>
                  </w:pPr>
                  <w:r>
                    <w:rPr>
                      <w:rFonts w:hint="eastAsia" w:cs="Times New Roman"/>
                      <w:color w:val="auto"/>
                      <w:kern w:val="2"/>
                      <w:sz w:val="18"/>
                      <w:szCs w:val="18"/>
                      <w:highlight w:val="none"/>
                      <w:lang w:val="en-US" w:eastAsia="zh-CN" w:bidi="ar-SA"/>
                    </w:rPr>
                    <w:t>0.095</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sz w:val="21"/>
                <w:szCs w:val="21"/>
                <w:lang w:eastAsia="zh-CN"/>
              </w:rPr>
            </w:pPr>
            <w:r>
              <w:rPr>
                <w:rFonts w:hint="eastAsia"/>
                <w:b/>
                <w:bCs/>
                <w:sz w:val="21"/>
                <w:szCs w:val="21"/>
                <w:lang w:val="en-US" w:eastAsia="zh-CN"/>
              </w:rPr>
              <w:t>2</w:t>
            </w:r>
            <w:r>
              <w:rPr>
                <w:rFonts w:hint="default"/>
                <w:b/>
                <w:bCs/>
                <w:sz w:val="21"/>
                <w:szCs w:val="21"/>
              </w:rPr>
              <w:t>、废气</w:t>
            </w:r>
          </w:p>
          <w:p>
            <w:pPr>
              <w:pStyle w:val="29"/>
              <w:keepNext w:val="0"/>
              <w:keepLines w:val="0"/>
              <w:pageBreakBefore w:val="0"/>
              <w:widowControl/>
              <w:kinsoku/>
              <w:wordWrap/>
              <w:overflowPunct/>
              <w:topLinePunct w:val="0"/>
              <w:autoSpaceDE/>
              <w:autoSpaceDN/>
              <w:bidi w:val="0"/>
              <w:adjustRightInd/>
              <w:snapToGrid/>
              <w:spacing w:before="0" w:line="240" w:lineRule="auto"/>
              <w:ind w:right="0" w:firstLine="0" w:firstLineChars="0"/>
              <w:jc w:val="center"/>
              <w:textAlignment w:val="auto"/>
              <w:rPr>
                <w:rFonts w:hint="default"/>
                <w:b/>
                <w:bCs/>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4-</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 xml:space="preserve">  本项目</w:t>
            </w:r>
            <w:r>
              <w:rPr>
                <w:rFonts w:hint="default" w:ascii="Times New Roman" w:hAnsi="Times New Roman" w:cs="Times New Roman"/>
                <w:b/>
                <w:bCs/>
                <w:sz w:val="21"/>
                <w:szCs w:val="21"/>
              </w:rPr>
              <w:t>废气</w:t>
            </w:r>
            <w:r>
              <w:rPr>
                <w:rFonts w:hint="default" w:ascii="Times New Roman" w:hAnsi="Times New Roman" w:cs="Times New Roman"/>
                <w:b/>
                <w:bCs/>
                <w:sz w:val="21"/>
                <w:szCs w:val="21"/>
                <w:lang w:val="en-US" w:eastAsia="zh-CN"/>
              </w:rPr>
              <w:t>源强</w:t>
            </w:r>
            <w:r>
              <w:rPr>
                <w:rFonts w:hint="default" w:ascii="Times New Roman" w:hAnsi="Times New Roman" w:cs="Times New Roman"/>
                <w:b/>
                <w:bCs/>
                <w:sz w:val="21"/>
                <w:szCs w:val="21"/>
              </w:rPr>
              <w:t>情况</w:t>
            </w:r>
            <w:r>
              <w:rPr>
                <w:rFonts w:hint="default" w:ascii="Times New Roman" w:hAnsi="Times New Roman" w:cs="Times New Roman"/>
                <w:b/>
                <w:bCs/>
                <w:sz w:val="21"/>
                <w:szCs w:val="21"/>
                <w:lang w:val="en-US" w:eastAsia="zh-CN"/>
              </w:rPr>
              <w:t>一览表</w:t>
            </w:r>
          </w:p>
          <w:tbl>
            <w:tblPr>
              <w:tblStyle w:val="1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176"/>
              <w:gridCol w:w="1070"/>
              <w:gridCol w:w="1281"/>
              <w:gridCol w:w="1551"/>
              <w:gridCol w:w="1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8" w:type="pct"/>
                  <w:tcBorders>
                    <w:tl2br w:val="nil"/>
                    <w:tr2bl w:val="nil"/>
                  </w:tcBorders>
                  <w:noWrap w:val="0"/>
                  <w:vAlign w:val="center"/>
                </w:tcPr>
                <w:p>
                  <w:pPr>
                    <w:jc w:val="center"/>
                    <w:rPr>
                      <w:rFonts w:hint="eastAsia"/>
                      <w:b/>
                      <w:bCs/>
                      <w:sz w:val="18"/>
                      <w:szCs w:val="18"/>
                      <w:lang w:eastAsia="zh-CN"/>
                    </w:rPr>
                  </w:pPr>
                  <w:r>
                    <w:rPr>
                      <w:rFonts w:hint="eastAsia"/>
                      <w:b/>
                      <w:bCs/>
                      <w:sz w:val="18"/>
                      <w:szCs w:val="18"/>
                      <w:lang w:val="en-US" w:eastAsia="zh-CN"/>
                    </w:rPr>
                    <w:t>产污环节</w:t>
                  </w:r>
                </w:p>
              </w:tc>
              <w:tc>
                <w:tcPr>
                  <w:tcW w:w="761" w:type="pct"/>
                  <w:tcBorders>
                    <w:tl2br w:val="nil"/>
                    <w:tr2bl w:val="nil"/>
                  </w:tcBorders>
                  <w:noWrap w:val="0"/>
                  <w:vAlign w:val="center"/>
                </w:tcPr>
                <w:p>
                  <w:pPr>
                    <w:jc w:val="center"/>
                    <w:rPr>
                      <w:rFonts w:hint="default"/>
                      <w:b/>
                      <w:bCs/>
                      <w:sz w:val="18"/>
                      <w:szCs w:val="18"/>
                    </w:rPr>
                  </w:pPr>
                  <w:r>
                    <w:rPr>
                      <w:rFonts w:hint="default"/>
                      <w:b/>
                      <w:bCs/>
                      <w:sz w:val="18"/>
                      <w:szCs w:val="18"/>
                    </w:rPr>
                    <w:t>原辅料</w:t>
                  </w:r>
                </w:p>
                <w:p>
                  <w:pPr>
                    <w:jc w:val="center"/>
                    <w:rPr>
                      <w:rFonts w:hint="default"/>
                      <w:b/>
                      <w:bCs/>
                      <w:sz w:val="18"/>
                      <w:szCs w:val="18"/>
                    </w:rPr>
                  </w:pPr>
                  <w:r>
                    <w:rPr>
                      <w:rFonts w:hint="default"/>
                      <w:b/>
                      <w:bCs/>
                      <w:sz w:val="18"/>
                      <w:szCs w:val="18"/>
                    </w:rPr>
                    <w:t>名称</w:t>
                  </w:r>
                </w:p>
              </w:tc>
              <w:tc>
                <w:tcPr>
                  <w:tcW w:w="693" w:type="pct"/>
                  <w:tcBorders>
                    <w:tl2br w:val="nil"/>
                    <w:tr2bl w:val="nil"/>
                  </w:tcBorders>
                  <w:noWrap w:val="0"/>
                  <w:vAlign w:val="center"/>
                </w:tcPr>
                <w:p>
                  <w:pPr>
                    <w:jc w:val="center"/>
                    <w:rPr>
                      <w:rFonts w:hint="default"/>
                      <w:b/>
                      <w:bCs/>
                      <w:sz w:val="18"/>
                      <w:szCs w:val="18"/>
                    </w:rPr>
                  </w:pPr>
                  <w:r>
                    <w:rPr>
                      <w:rFonts w:hint="eastAsia"/>
                      <w:b/>
                      <w:bCs/>
                      <w:sz w:val="18"/>
                      <w:szCs w:val="18"/>
                      <w:lang w:val="en-US" w:eastAsia="zh-CN"/>
                    </w:rPr>
                    <w:t>使</w:t>
                  </w:r>
                  <w:r>
                    <w:rPr>
                      <w:rFonts w:hint="default"/>
                      <w:b/>
                      <w:bCs/>
                      <w:sz w:val="18"/>
                      <w:szCs w:val="18"/>
                    </w:rPr>
                    <w:t>用量</w:t>
                  </w:r>
                </w:p>
                <w:p>
                  <w:pPr>
                    <w:jc w:val="center"/>
                    <w:rPr>
                      <w:rFonts w:hint="default"/>
                      <w:b/>
                      <w:bCs/>
                      <w:sz w:val="18"/>
                      <w:szCs w:val="18"/>
                    </w:rPr>
                  </w:pPr>
                  <w:r>
                    <w:rPr>
                      <w:rFonts w:hint="default"/>
                      <w:b/>
                      <w:bCs/>
                      <w:sz w:val="18"/>
                      <w:szCs w:val="18"/>
                    </w:rPr>
                    <w:t>（</w:t>
                  </w:r>
                  <w:r>
                    <w:rPr>
                      <w:rFonts w:hint="default"/>
                      <w:b/>
                      <w:bCs/>
                      <w:sz w:val="18"/>
                      <w:szCs w:val="18"/>
                      <w:lang w:val="en-US" w:eastAsia="zh-CN"/>
                    </w:rPr>
                    <w:t>t</w:t>
                  </w:r>
                  <w:r>
                    <w:rPr>
                      <w:rFonts w:hint="default"/>
                      <w:b/>
                      <w:bCs/>
                      <w:sz w:val="18"/>
                      <w:szCs w:val="18"/>
                    </w:rPr>
                    <w:t>/a）</w:t>
                  </w:r>
                </w:p>
              </w:tc>
              <w:tc>
                <w:tcPr>
                  <w:tcW w:w="829" w:type="pct"/>
                  <w:tcBorders>
                    <w:tl2br w:val="nil"/>
                    <w:tr2bl w:val="nil"/>
                  </w:tcBorders>
                  <w:noWrap w:val="0"/>
                  <w:vAlign w:val="center"/>
                </w:tcPr>
                <w:p>
                  <w:pPr>
                    <w:jc w:val="center"/>
                    <w:rPr>
                      <w:rFonts w:hint="default"/>
                      <w:b/>
                      <w:bCs/>
                      <w:sz w:val="18"/>
                      <w:szCs w:val="18"/>
                    </w:rPr>
                  </w:pPr>
                  <w:r>
                    <w:rPr>
                      <w:rFonts w:hint="default"/>
                      <w:b/>
                      <w:bCs/>
                      <w:sz w:val="18"/>
                      <w:szCs w:val="18"/>
                    </w:rPr>
                    <w:t>污染物</w:t>
                  </w:r>
                </w:p>
                <w:p>
                  <w:pPr>
                    <w:jc w:val="center"/>
                    <w:rPr>
                      <w:rFonts w:hint="eastAsia"/>
                      <w:b/>
                      <w:bCs/>
                      <w:sz w:val="18"/>
                      <w:szCs w:val="18"/>
                      <w:lang w:val="en-US" w:eastAsia="zh-CN"/>
                    </w:rPr>
                  </w:pPr>
                  <w:r>
                    <w:rPr>
                      <w:rFonts w:hint="eastAsia"/>
                      <w:b/>
                      <w:bCs/>
                      <w:sz w:val="18"/>
                      <w:szCs w:val="18"/>
                      <w:lang w:val="en-US" w:eastAsia="zh-CN"/>
                    </w:rPr>
                    <w:t>名称</w:t>
                  </w:r>
                </w:p>
              </w:tc>
              <w:tc>
                <w:tcPr>
                  <w:tcW w:w="1004" w:type="pct"/>
                  <w:tcBorders>
                    <w:tl2br w:val="nil"/>
                    <w:tr2bl w:val="nil"/>
                  </w:tcBorders>
                  <w:noWrap w:val="0"/>
                  <w:vAlign w:val="center"/>
                </w:tcPr>
                <w:p>
                  <w:pPr>
                    <w:jc w:val="center"/>
                    <w:rPr>
                      <w:rFonts w:hint="eastAsia"/>
                      <w:b/>
                      <w:bCs/>
                      <w:sz w:val="18"/>
                      <w:szCs w:val="18"/>
                      <w:lang w:val="en-US" w:eastAsia="zh-CN"/>
                    </w:rPr>
                  </w:pPr>
                  <w:r>
                    <w:rPr>
                      <w:rFonts w:hint="default"/>
                      <w:b/>
                      <w:bCs/>
                      <w:sz w:val="18"/>
                      <w:szCs w:val="18"/>
                    </w:rPr>
                    <w:t>挥发比例</w:t>
                  </w:r>
                  <w:r>
                    <w:rPr>
                      <w:rFonts w:hint="eastAsia"/>
                      <w:b/>
                      <w:bCs/>
                      <w:sz w:val="18"/>
                      <w:szCs w:val="18"/>
                      <w:lang w:val="en-US" w:eastAsia="zh-CN"/>
                    </w:rPr>
                    <w:t>/</w:t>
                  </w:r>
                </w:p>
                <w:p>
                  <w:pPr>
                    <w:jc w:val="center"/>
                    <w:rPr>
                      <w:rFonts w:hint="default"/>
                      <w:b/>
                      <w:bCs/>
                      <w:sz w:val="18"/>
                      <w:szCs w:val="18"/>
                      <w:lang w:val="en-US" w:eastAsia="zh-CN"/>
                    </w:rPr>
                  </w:pPr>
                  <w:r>
                    <w:rPr>
                      <w:rFonts w:hint="eastAsia"/>
                      <w:b/>
                      <w:bCs/>
                      <w:sz w:val="18"/>
                      <w:szCs w:val="18"/>
                      <w:lang w:val="en-US" w:eastAsia="zh-CN"/>
                    </w:rPr>
                    <w:t>产污系数（kg/t）</w:t>
                  </w:r>
                </w:p>
              </w:tc>
              <w:tc>
                <w:tcPr>
                  <w:tcW w:w="762" w:type="pct"/>
                  <w:tcBorders>
                    <w:tl2br w:val="nil"/>
                    <w:tr2bl w:val="nil"/>
                  </w:tcBorders>
                  <w:noWrap w:val="0"/>
                  <w:vAlign w:val="center"/>
                </w:tcPr>
                <w:p>
                  <w:pPr>
                    <w:jc w:val="center"/>
                    <w:rPr>
                      <w:rFonts w:hint="default"/>
                      <w:b/>
                      <w:bCs/>
                      <w:sz w:val="18"/>
                      <w:szCs w:val="18"/>
                    </w:rPr>
                  </w:pPr>
                  <w:r>
                    <w:rPr>
                      <w:rFonts w:hint="default"/>
                      <w:b/>
                      <w:bCs/>
                      <w:sz w:val="18"/>
                      <w:szCs w:val="18"/>
                    </w:rPr>
                    <w:t>废气</w:t>
                  </w:r>
                </w:p>
                <w:p>
                  <w:pPr>
                    <w:jc w:val="center"/>
                    <w:rPr>
                      <w:rFonts w:hint="default"/>
                      <w:b/>
                      <w:bCs/>
                      <w:sz w:val="18"/>
                      <w:szCs w:val="18"/>
                    </w:rPr>
                  </w:pPr>
                  <w:r>
                    <w:rPr>
                      <w:rFonts w:hint="default"/>
                      <w:b/>
                      <w:bCs/>
                      <w:sz w:val="18"/>
                      <w:szCs w:val="18"/>
                    </w:rPr>
                    <w:t>产生量</w:t>
                  </w:r>
                </w:p>
                <w:p>
                  <w:pPr>
                    <w:jc w:val="center"/>
                    <w:rPr>
                      <w:rFonts w:hint="default"/>
                      <w:b/>
                      <w:bCs/>
                      <w:sz w:val="18"/>
                      <w:szCs w:val="18"/>
                    </w:rPr>
                  </w:pPr>
                  <w:r>
                    <w:rPr>
                      <w:rFonts w:hint="default"/>
                      <w:b/>
                      <w:bCs/>
                      <w:sz w:val="18"/>
                      <w:szCs w:val="18"/>
                    </w:rPr>
                    <w:t>（</w:t>
                  </w:r>
                  <w:r>
                    <w:rPr>
                      <w:rFonts w:hint="default"/>
                      <w:b/>
                      <w:bCs/>
                      <w:sz w:val="18"/>
                      <w:szCs w:val="18"/>
                      <w:lang w:val="en-US" w:eastAsia="zh-CN"/>
                    </w:rPr>
                    <w:t>t</w:t>
                  </w:r>
                  <w:r>
                    <w:rPr>
                      <w:rFonts w:hint="default"/>
                      <w:b/>
                      <w:bCs/>
                      <w:sz w:val="18"/>
                      <w:szCs w:val="18"/>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8" w:type="pct"/>
                  <w:vMerge w:val="restart"/>
                  <w:tcBorders>
                    <w:tl2br w:val="nil"/>
                    <w:tr2bl w:val="nil"/>
                  </w:tcBorders>
                  <w:noWrap w:val="0"/>
                  <w:vAlign w:val="center"/>
                </w:tcPr>
                <w:p>
                  <w:pPr>
                    <w:jc w:val="center"/>
                    <w:rPr>
                      <w:rFonts w:hint="eastAsia" w:eastAsia="宋体"/>
                      <w:sz w:val="18"/>
                      <w:szCs w:val="18"/>
                      <w:lang w:val="en-US" w:eastAsia="zh-CN"/>
                    </w:rPr>
                  </w:pPr>
                  <w:r>
                    <w:rPr>
                      <w:rFonts w:hint="eastAsia"/>
                      <w:sz w:val="18"/>
                      <w:szCs w:val="18"/>
                      <w:lang w:val="en-US" w:eastAsia="zh-CN"/>
                    </w:rPr>
                    <w:t>注塑</w:t>
                  </w:r>
                </w:p>
              </w:tc>
              <w:tc>
                <w:tcPr>
                  <w:tcW w:w="761" w:type="pct"/>
                  <w:tcBorders>
                    <w:tl2br w:val="nil"/>
                    <w:tr2bl w:val="nil"/>
                  </w:tcBorders>
                  <w:noWrap w:val="0"/>
                  <w:vAlign w:val="center"/>
                </w:tcPr>
                <w:p>
                  <w:pPr>
                    <w:jc w:val="center"/>
                    <w:rPr>
                      <w:rFonts w:hint="eastAsia" w:eastAsia="宋体"/>
                      <w:sz w:val="18"/>
                      <w:szCs w:val="18"/>
                      <w:lang w:val="en-US" w:eastAsia="zh-CN"/>
                    </w:rPr>
                  </w:pPr>
                  <w:r>
                    <w:rPr>
                      <w:rFonts w:hint="eastAsia"/>
                      <w:sz w:val="18"/>
                      <w:szCs w:val="18"/>
                      <w:lang w:val="en-US" w:eastAsia="zh-CN"/>
                    </w:rPr>
                    <w:t>PP</w:t>
                  </w:r>
                </w:p>
              </w:tc>
              <w:tc>
                <w:tcPr>
                  <w:tcW w:w="693" w:type="pct"/>
                  <w:tcBorders>
                    <w:tl2br w:val="nil"/>
                    <w:tr2bl w:val="nil"/>
                  </w:tcBorders>
                  <w:noWrap w:val="0"/>
                  <w:vAlign w:val="center"/>
                </w:tcPr>
                <w:p>
                  <w:pPr>
                    <w:jc w:val="center"/>
                    <w:rPr>
                      <w:rFonts w:hint="default"/>
                      <w:sz w:val="18"/>
                      <w:szCs w:val="18"/>
                    </w:rPr>
                  </w:pPr>
                  <w:r>
                    <w:rPr>
                      <w:rFonts w:hint="eastAsia"/>
                      <w:bCs/>
                      <w:color w:val="auto"/>
                      <w:sz w:val="18"/>
                      <w:szCs w:val="18"/>
                      <w:lang w:val="en-US" w:eastAsia="zh-CN"/>
                    </w:rPr>
                    <w:t>30</w:t>
                  </w:r>
                </w:p>
              </w:tc>
              <w:tc>
                <w:tcPr>
                  <w:tcW w:w="829" w:type="pct"/>
                  <w:tcBorders>
                    <w:tl2br w:val="nil"/>
                    <w:tr2bl w:val="nil"/>
                  </w:tcBorders>
                  <w:noWrap w:val="0"/>
                  <w:vAlign w:val="center"/>
                </w:tcPr>
                <w:p>
                  <w:pPr>
                    <w:jc w:val="center"/>
                    <w:rPr>
                      <w:rFonts w:hint="default"/>
                      <w:sz w:val="18"/>
                      <w:szCs w:val="18"/>
                    </w:rPr>
                  </w:pPr>
                  <w:r>
                    <w:rPr>
                      <w:rFonts w:hint="eastAsia" w:ascii="Times New Roman" w:hAnsi="Times New Roman" w:eastAsia="宋体" w:cs="Times New Roman"/>
                      <w:sz w:val="18"/>
                      <w:szCs w:val="18"/>
                      <w:lang w:val="en-US" w:eastAsia="zh-CN"/>
                    </w:rPr>
                    <w:t>非甲烷总烃</w:t>
                  </w:r>
                </w:p>
              </w:tc>
              <w:tc>
                <w:tcPr>
                  <w:tcW w:w="1004" w:type="pct"/>
                  <w:tcBorders>
                    <w:tl2br w:val="nil"/>
                    <w:tr2bl w:val="nil"/>
                  </w:tcBorders>
                  <w:noWrap w:val="0"/>
                  <w:vAlign w:val="center"/>
                </w:tcPr>
                <w:p>
                  <w:pPr>
                    <w:jc w:val="center"/>
                    <w:rPr>
                      <w:rFonts w:hint="default" w:eastAsia="宋体"/>
                      <w:sz w:val="18"/>
                      <w:szCs w:val="18"/>
                      <w:lang w:val="en-US" w:eastAsia="zh-CN"/>
                    </w:rPr>
                  </w:pPr>
                  <w:r>
                    <w:rPr>
                      <w:rFonts w:hint="eastAsia"/>
                      <w:sz w:val="18"/>
                      <w:szCs w:val="18"/>
                      <w:lang w:val="en-US" w:eastAsia="zh-CN"/>
                    </w:rPr>
                    <w:t>2.7</w:t>
                  </w:r>
                </w:p>
              </w:tc>
              <w:tc>
                <w:tcPr>
                  <w:tcW w:w="762" w:type="pct"/>
                  <w:tcBorders>
                    <w:tl2br w:val="nil"/>
                    <w:tr2bl w:val="nil"/>
                  </w:tcBorders>
                  <w:noWrap w:val="0"/>
                  <w:vAlign w:val="center"/>
                </w:tcPr>
                <w:p>
                  <w:pPr>
                    <w:jc w:val="center"/>
                    <w:rPr>
                      <w:rFonts w:hint="default"/>
                      <w:sz w:val="18"/>
                      <w:szCs w:val="18"/>
                      <w:lang w:val="en-US" w:eastAsia="zh-CN"/>
                    </w:rPr>
                  </w:pPr>
                  <w:r>
                    <w:rPr>
                      <w:rFonts w:hint="eastAsia"/>
                      <w:sz w:val="18"/>
                      <w:szCs w:val="18"/>
                      <w:lang w:val="en-US" w:eastAsia="zh-CN"/>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8" w:type="pct"/>
                  <w:vMerge w:val="continue"/>
                  <w:tcBorders>
                    <w:tl2br w:val="nil"/>
                    <w:tr2bl w:val="nil"/>
                  </w:tcBorders>
                  <w:noWrap w:val="0"/>
                  <w:vAlign w:val="center"/>
                </w:tcPr>
                <w:p>
                  <w:pPr>
                    <w:jc w:val="center"/>
                    <w:rPr>
                      <w:rFonts w:hint="eastAsia"/>
                      <w:sz w:val="18"/>
                      <w:szCs w:val="18"/>
                      <w:lang w:val="en-US" w:eastAsia="zh-CN"/>
                    </w:rPr>
                  </w:pPr>
                </w:p>
              </w:tc>
              <w:tc>
                <w:tcPr>
                  <w:tcW w:w="761" w:type="pct"/>
                  <w:tcBorders>
                    <w:tl2br w:val="nil"/>
                    <w:tr2bl w:val="nil"/>
                  </w:tcBorders>
                  <w:noWrap w:val="0"/>
                  <w:vAlign w:val="center"/>
                </w:tcPr>
                <w:p>
                  <w:pPr>
                    <w:jc w:val="center"/>
                    <w:rPr>
                      <w:rFonts w:hint="eastAsia" w:eastAsia="宋体"/>
                      <w:sz w:val="18"/>
                      <w:szCs w:val="18"/>
                      <w:lang w:val="en-US" w:eastAsia="zh-CN"/>
                    </w:rPr>
                  </w:pPr>
                  <w:r>
                    <w:rPr>
                      <w:rFonts w:hint="eastAsia"/>
                      <w:sz w:val="18"/>
                      <w:szCs w:val="18"/>
                      <w:lang w:val="en-US" w:eastAsia="zh-CN"/>
                    </w:rPr>
                    <w:t>PE</w:t>
                  </w:r>
                </w:p>
              </w:tc>
              <w:tc>
                <w:tcPr>
                  <w:tcW w:w="693" w:type="pct"/>
                  <w:tcBorders>
                    <w:tl2br w:val="nil"/>
                    <w:tr2bl w:val="nil"/>
                  </w:tcBorders>
                  <w:noWrap w:val="0"/>
                  <w:vAlign w:val="center"/>
                </w:tcPr>
                <w:p>
                  <w:pPr>
                    <w:jc w:val="center"/>
                    <w:rPr>
                      <w:rFonts w:hint="default"/>
                      <w:sz w:val="18"/>
                      <w:szCs w:val="18"/>
                    </w:rPr>
                  </w:pPr>
                  <w:r>
                    <w:rPr>
                      <w:rFonts w:hint="eastAsia"/>
                      <w:bCs/>
                      <w:color w:val="auto"/>
                      <w:sz w:val="18"/>
                      <w:szCs w:val="18"/>
                      <w:lang w:val="en-US" w:eastAsia="zh-CN"/>
                    </w:rPr>
                    <w:t>5</w:t>
                  </w:r>
                </w:p>
              </w:tc>
              <w:tc>
                <w:tcPr>
                  <w:tcW w:w="829" w:type="pct"/>
                  <w:tcBorders>
                    <w:tl2br w:val="nil"/>
                    <w:tr2bl w:val="nil"/>
                  </w:tcBorders>
                  <w:noWrap w:val="0"/>
                  <w:vAlign w:val="center"/>
                </w:tcPr>
                <w:p>
                  <w:pPr>
                    <w:jc w:val="center"/>
                    <w:rPr>
                      <w:rFonts w:hint="default"/>
                      <w:sz w:val="18"/>
                      <w:szCs w:val="18"/>
                    </w:rPr>
                  </w:pPr>
                  <w:r>
                    <w:rPr>
                      <w:rFonts w:hint="eastAsia" w:ascii="Times New Roman" w:hAnsi="Times New Roman" w:eastAsia="宋体" w:cs="Times New Roman"/>
                      <w:sz w:val="18"/>
                      <w:szCs w:val="18"/>
                      <w:lang w:val="en-US" w:eastAsia="zh-CN"/>
                    </w:rPr>
                    <w:t>非甲烷总烃</w:t>
                  </w:r>
                </w:p>
              </w:tc>
              <w:tc>
                <w:tcPr>
                  <w:tcW w:w="1004" w:type="pct"/>
                  <w:tcBorders>
                    <w:tl2br w:val="nil"/>
                    <w:tr2bl w:val="nil"/>
                  </w:tcBorders>
                  <w:noWrap w:val="0"/>
                  <w:vAlign w:val="center"/>
                </w:tcPr>
                <w:p>
                  <w:pPr>
                    <w:jc w:val="center"/>
                    <w:rPr>
                      <w:rFonts w:hint="default" w:eastAsia="宋体"/>
                      <w:sz w:val="18"/>
                      <w:szCs w:val="18"/>
                      <w:lang w:val="en-US" w:eastAsia="zh-CN"/>
                    </w:rPr>
                  </w:pPr>
                  <w:r>
                    <w:rPr>
                      <w:rFonts w:hint="eastAsia"/>
                      <w:sz w:val="18"/>
                      <w:szCs w:val="18"/>
                      <w:lang w:val="en-US" w:eastAsia="zh-CN"/>
                    </w:rPr>
                    <w:t>2.7</w:t>
                  </w:r>
                </w:p>
              </w:tc>
              <w:tc>
                <w:tcPr>
                  <w:tcW w:w="762" w:type="pct"/>
                  <w:tcBorders>
                    <w:tl2br w:val="nil"/>
                    <w:tr2bl w:val="nil"/>
                  </w:tcBorders>
                  <w:noWrap w:val="0"/>
                  <w:vAlign w:val="center"/>
                </w:tcPr>
                <w:p>
                  <w:pPr>
                    <w:jc w:val="center"/>
                    <w:rPr>
                      <w:rFonts w:hint="default"/>
                      <w:sz w:val="18"/>
                      <w:szCs w:val="18"/>
                      <w:lang w:val="en-US" w:eastAsia="zh-CN"/>
                    </w:rPr>
                  </w:pPr>
                  <w:r>
                    <w:rPr>
                      <w:rFonts w:hint="eastAsia"/>
                      <w:sz w:val="18"/>
                      <w:szCs w:val="18"/>
                      <w:lang w:val="en-US" w:eastAsia="zh-CN"/>
                    </w:rPr>
                    <w:t>0.014</w:t>
                  </w:r>
                </w:p>
              </w:tc>
            </w:tr>
          </w:tbl>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本项目</w:t>
            </w:r>
            <w:r>
              <w:rPr>
                <w:rFonts w:hint="eastAsia" w:ascii="Times New Roman" w:hAnsi="Times New Roman" w:eastAsia="宋体" w:cs="Times New Roman"/>
                <w:lang w:val="en-US" w:eastAsia="zh-CN"/>
              </w:rPr>
              <w:t>新增</w:t>
            </w:r>
            <w:r>
              <w:rPr>
                <w:rFonts w:hint="default" w:ascii="Times New Roman" w:hAnsi="Times New Roman" w:eastAsia="宋体" w:cs="Times New Roman"/>
                <w:lang w:val="en-US" w:eastAsia="zh-CN"/>
              </w:rPr>
              <w:t>废气主要为</w:t>
            </w:r>
            <w:r>
              <w:rPr>
                <w:rFonts w:hint="eastAsia" w:ascii="Times New Roman" w:hAnsi="Times New Roman" w:eastAsia="宋体" w:cs="Times New Roman"/>
                <w:lang w:val="en-US" w:eastAsia="zh-CN"/>
              </w:rPr>
              <w:t>注塑废气，新增原料为</w:t>
            </w:r>
            <w:r>
              <w:rPr>
                <w:rFonts w:hint="eastAsia" w:cs="Times New Roman"/>
                <w:lang w:val="en-US" w:eastAsia="zh-CN"/>
              </w:rPr>
              <w:t>聚丙烯</w:t>
            </w:r>
            <w:r>
              <w:rPr>
                <w:rFonts w:hint="eastAsia" w:ascii="Times New Roman" w:hAnsi="Times New Roman" w:eastAsia="宋体" w:cs="Times New Roman"/>
                <w:lang w:val="en-US" w:eastAsia="zh-CN"/>
              </w:rPr>
              <w:t>(P</w:t>
            </w:r>
            <w:r>
              <w:rPr>
                <w:rFonts w:hint="eastAsia" w:cs="Times New Roman"/>
                <w:lang w:val="en-US" w:eastAsia="zh-CN"/>
              </w:rPr>
              <w:t>P</w:t>
            </w:r>
            <w:r>
              <w:rPr>
                <w:rFonts w:hint="eastAsia" w:ascii="Times New Roman" w:hAnsi="Times New Roman" w:eastAsia="宋体" w:cs="Times New Roman"/>
                <w:lang w:val="en-US" w:eastAsia="zh-CN"/>
              </w:rPr>
              <w:t>)</w:t>
            </w:r>
            <w:r>
              <w:rPr>
                <w:rFonts w:hint="eastAsia" w:cs="Times New Roman"/>
                <w:lang w:val="en-US" w:eastAsia="zh-CN"/>
              </w:rPr>
              <w:t>和聚乙烯（PE</w:t>
            </w:r>
            <w:r>
              <w:rPr>
                <w:rFonts w:hint="eastAsia"/>
                <w:bCs/>
                <w:color w:val="auto"/>
                <w:szCs w:val="21"/>
              </w:rPr>
              <w:t>/HDPE</w:t>
            </w:r>
            <w:r>
              <w:rPr>
                <w:rFonts w:hint="eastAsia" w:cs="Times New Roman"/>
                <w:lang w:val="en-US" w:eastAsia="zh-CN"/>
              </w:rPr>
              <w:t>）</w:t>
            </w:r>
            <w:r>
              <w:rPr>
                <w:rFonts w:hint="eastAsia" w:ascii="Times New Roman" w:hAnsi="Times New Roman" w:eastAsia="宋体" w:cs="Times New Roman"/>
                <w:lang w:val="en-US" w:eastAsia="zh-CN"/>
              </w:rPr>
              <w:t>，产生非甲烷总烃。</w:t>
            </w:r>
          </w:p>
          <w:p>
            <w:pPr>
              <w:spacing w:line="360" w:lineRule="auto"/>
              <w:ind w:firstLine="420" w:firstLineChars="20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lang w:val="en-US" w:eastAsia="zh-CN"/>
              </w:rPr>
              <w:t>非甲烷总烃：</w:t>
            </w:r>
            <w:r>
              <w:rPr>
                <w:rFonts w:hint="default" w:ascii="Times New Roman" w:hAnsi="Times New Roman" w:eastAsia="宋体" w:cs="Times New Roman"/>
                <w:color w:val="auto"/>
                <w:kern w:val="0"/>
                <w:sz w:val="21"/>
                <w:szCs w:val="21"/>
                <w:highlight w:val="none"/>
                <w:lang w:val="en-US" w:eastAsia="zh-CN" w:bidi="ar-SA"/>
              </w:rPr>
              <w:t>参考</w:t>
            </w:r>
            <w:r>
              <w:rPr>
                <w:rFonts w:hint="eastAsia" w:cs="Times New Roman"/>
                <w:color w:val="auto"/>
                <w:kern w:val="0"/>
                <w:sz w:val="21"/>
                <w:szCs w:val="21"/>
                <w:highlight w:val="none"/>
                <w:lang w:val="en-US" w:eastAsia="zh-CN" w:bidi="ar-SA"/>
              </w:rPr>
              <w:t>《第二次全国污染源普查产排污系数手册》</w:t>
            </w:r>
            <w:r>
              <w:rPr>
                <w:rFonts w:hint="eastAsia" w:ascii="Times New Roman" w:hAnsi="Times New Roman" w:eastAsia="宋体" w:cs="Times New Roman"/>
                <w:color w:val="auto"/>
                <w:kern w:val="0"/>
                <w:sz w:val="21"/>
                <w:szCs w:val="21"/>
                <w:highlight w:val="none"/>
                <w:lang w:val="en-US" w:eastAsia="zh-CN" w:bidi="ar-SA"/>
              </w:rPr>
              <w:t>中</w:t>
            </w:r>
            <w:r>
              <w:rPr>
                <w:rFonts w:hint="default" w:ascii="Times New Roman" w:hAnsi="Times New Roman" w:cs="Times New Roman"/>
                <w:szCs w:val="24"/>
              </w:rPr>
              <w:t>C2929 塑料零件及其他塑料制品制造</w:t>
            </w:r>
            <w:r>
              <w:rPr>
                <w:rFonts w:hint="eastAsia" w:ascii="Times New Roman" w:hAnsi="Times New Roman" w:eastAsia="宋体" w:cs="Times New Roman"/>
                <w:color w:val="auto"/>
                <w:kern w:val="0"/>
                <w:sz w:val="21"/>
                <w:szCs w:val="21"/>
                <w:highlight w:val="none"/>
                <w:lang w:val="en-US" w:eastAsia="zh-CN" w:bidi="ar-SA"/>
              </w:rPr>
              <w:t>行业挥发性有机物</w:t>
            </w:r>
            <w:r>
              <w:rPr>
                <w:rFonts w:hint="default" w:ascii="Times New Roman" w:hAnsi="Times New Roman" w:eastAsia="宋体" w:cs="Times New Roman"/>
                <w:color w:val="auto"/>
                <w:kern w:val="0"/>
                <w:sz w:val="21"/>
                <w:szCs w:val="21"/>
                <w:highlight w:val="none"/>
                <w:lang w:val="en-US" w:eastAsia="zh-CN" w:bidi="ar-SA"/>
              </w:rPr>
              <w:t>排放系数</w:t>
            </w:r>
            <w:r>
              <w:rPr>
                <w:rFonts w:hint="eastAsia" w:cs="Times New Roman"/>
                <w:color w:val="auto"/>
                <w:kern w:val="0"/>
                <w:sz w:val="21"/>
                <w:szCs w:val="21"/>
                <w:highlight w:val="none"/>
                <w:lang w:val="en-US" w:eastAsia="zh-CN" w:bidi="ar-SA"/>
              </w:rPr>
              <w:t>，产污系数为2.7kg/t</w:t>
            </w:r>
            <w:r>
              <w:rPr>
                <w:rFonts w:hint="default" w:ascii="Times New Roman" w:hAnsi="Times New Roman" w:eastAsia="宋体" w:cs="Times New Roman"/>
                <w:color w:val="auto"/>
                <w:kern w:val="0"/>
                <w:sz w:val="21"/>
                <w:szCs w:val="21"/>
                <w:highlight w:val="none"/>
                <w:lang w:val="en-US" w:eastAsia="zh-CN" w:bidi="ar-SA"/>
              </w:rPr>
              <w:t>，塑料粒子</w:t>
            </w:r>
            <w:r>
              <w:rPr>
                <w:rFonts w:hint="eastAsia" w:cs="Times New Roman"/>
                <w:color w:val="auto"/>
                <w:kern w:val="0"/>
                <w:sz w:val="21"/>
                <w:szCs w:val="21"/>
                <w:highlight w:val="none"/>
                <w:lang w:val="en-US" w:eastAsia="zh-CN" w:bidi="ar-SA"/>
              </w:rPr>
              <w:t>新增</w:t>
            </w:r>
            <w:r>
              <w:rPr>
                <w:rFonts w:hint="default" w:ascii="Times New Roman" w:hAnsi="Times New Roman" w:eastAsia="宋体" w:cs="Times New Roman"/>
                <w:color w:val="auto"/>
                <w:kern w:val="0"/>
                <w:sz w:val="21"/>
                <w:szCs w:val="21"/>
                <w:highlight w:val="none"/>
                <w:lang w:val="en-US" w:eastAsia="zh-CN" w:bidi="ar-SA"/>
              </w:rPr>
              <w:t>量为</w:t>
            </w:r>
            <w:r>
              <w:rPr>
                <w:rFonts w:hint="eastAsia" w:cs="Times New Roman"/>
                <w:color w:val="auto"/>
                <w:kern w:val="0"/>
                <w:sz w:val="21"/>
                <w:szCs w:val="21"/>
                <w:highlight w:val="none"/>
                <w:lang w:val="en-US" w:eastAsia="zh-CN" w:bidi="ar-SA"/>
              </w:rPr>
              <w:t>35</w:t>
            </w:r>
            <w:r>
              <w:rPr>
                <w:rFonts w:hint="default" w:ascii="Times New Roman" w:hAnsi="Times New Roman" w:eastAsia="宋体" w:cs="Times New Roman"/>
                <w:color w:val="auto"/>
                <w:kern w:val="0"/>
                <w:sz w:val="21"/>
                <w:szCs w:val="21"/>
                <w:highlight w:val="none"/>
                <w:lang w:val="en-US" w:eastAsia="zh-CN" w:bidi="ar-SA"/>
              </w:rPr>
              <w:t>t/a，则非甲烷总烃</w:t>
            </w:r>
            <w:r>
              <w:rPr>
                <w:rFonts w:hint="eastAsia" w:cs="Times New Roman"/>
                <w:color w:val="auto"/>
                <w:kern w:val="0"/>
                <w:sz w:val="21"/>
                <w:szCs w:val="21"/>
                <w:highlight w:val="none"/>
                <w:lang w:val="en-US" w:eastAsia="zh-CN" w:bidi="ar-SA"/>
              </w:rPr>
              <w:t>新增</w:t>
            </w:r>
            <w:r>
              <w:rPr>
                <w:rFonts w:hint="default" w:ascii="Times New Roman" w:hAnsi="Times New Roman" w:eastAsia="宋体" w:cs="Times New Roman"/>
                <w:color w:val="auto"/>
                <w:kern w:val="0"/>
                <w:sz w:val="21"/>
                <w:szCs w:val="21"/>
                <w:highlight w:val="none"/>
                <w:lang w:val="en-US" w:eastAsia="zh-CN" w:bidi="ar-SA"/>
              </w:rPr>
              <w:t>产生量为</w:t>
            </w:r>
            <w:r>
              <w:rPr>
                <w:rFonts w:hint="eastAsia" w:cs="Times New Roman"/>
                <w:color w:val="auto"/>
                <w:kern w:val="2"/>
                <w:sz w:val="21"/>
                <w:szCs w:val="21"/>
                <w:highlight w:val="none"/>
                <w:lang w:val="en-US" w:eastAsia="zh-CN" w:bidi="ar-SA"/>
              </w:rPr>
              <w:t>0.095</w:t>
            </w:r>
            <w:r>
              <w:rPr>
                <w:rFonts w:hint="default" w:ascii="Times New Roman" w:hAnsi="Times New Roman" w:eastAsia="宋体" w:cs="Times New Roman"/>
                <w:color w:val="auto"/>
                <w:kern w:val="0"/>
                <w:sz w:val="21"/>
                <w:szCs w:val="21"/>
                <w:highlight w:val="none"/>
                <w:lang w:val="en-US" w:eastAsia="zh-CN" w:bidi="ar-SA"/>
              </w:rPr>
              <w:t>t/a。</w:t>
            </w:r>
          </w:p>
          <w:p>
            <w:pPr>
              <w:pStyle w:val="29"/>
              <w:keepNext w:val="0"/>
              <w:keepLines w:val="0"/>
              <w:pageBreakBefore w:val="0"/>
              <w:widowControl/>
              <w:kinsoku/>
              <w:wordWrap/>
              <w:overflowPunct/>
              <w:topLinePunct w:val="0"/>
              <w:autoSpaceDE/>
              <w:autoSpaceDN/>
              <w:bidi w:val="0"/>
              <w:adjustRightInd/>
              <w:snapToGrid/>
              <w:spacing w:before="0" w:line="240" w:lineRule="auto"/>
              <w:ind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4-</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本项目</w:t>
            </w:r>
            <w:r>
              <w:rPr>
                <w:rFonts w:hint="default" w:ascii="Times New Roman" w:hAnsi="Times New Roman" w:cs="Times New Roman"/>
                <w:b/>
                <w:bCs/>
                <w:sz w:val="21"/>
                <w:szCs w:val="21"/>
              </w:rPr>
              <w:t>废气</w:t>
            </w:r>
            <w:r>
              <w:rPr>
                <w:rFonts w:hint="default" w:ascii="Times New Roman" w:hAnsi="Times New Roman" w:cs="Times New Roman"/>
                <w:b/>
                <w:bCs/>
                <w:sz w:val="21"/>
                <w:szCs w:val="21"/>
                <w:lang w:val="en-US" w:eastAsia="zh-CN"/>
              </w:rPr>
              <w:t>收集治理</w:t>
            </w:r>
            <w:r>
              <w:rPr>
                <w:rFonts w:hint="default" w:ascii="Times New Roman" w:hAnsi="Times New Roman" w:cs="Times New Roman"/>
                <w:b/>
                <w:bCs/>
                <w:sz w:val="21"/>
                <w:szCs w:val="21"/>
              </w:rPr>
              <w:t>情况</w:t>
            </w:r>
            <w:r>
              <w:rPr>
                <w:rFonts w:hint="default" w:ascii="Times New Roman" w:hAnsi="Times New Roman" w:cs="Times New Roman"/>
                <w:b/>
                <w:bCs/>
                <w:sz w:val="21"/>
                <w:szCs w:val="21"/>
                <w:lang w:val="en-US" w:eastAsia="zh-CN"/>
              </w:rPr>
              <w:t>一览表</w:t>
            </w:r>
          </w:p>
          <w:tbl>
            <w:tblPr>
              <w:tblStyle w:val="16"/>
              <w:tblW w:w="4992"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40" w:type="dxa"/>
                <w:left w:w="40" w:type="dxa"/>
                <w:bottom w:w="40" w:type="dxa"/>
                <w:right w:w="40" w:type="dxa"/>
              </w:tblCellMar>
            </w:tblPr>
            <w:tblGrid>
              <w:gridCol w:w="998"/>
              <w:gridCol w:w="771"/>
              <w:gridCol w:w="771"/>
              <w:gridCol w:w="542"/>
              <w:gridCol w:w="771"/>
              <w:gridCol w:w="771"/>
              <w:gridCol w:w="771"/>
              <w:gridCol w:w="771"/>
              <w:gridCol w:w="771"/>
              <w:gridCol w:w="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6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lang w:val="en-US" w:eastAsia="zh-CN"/>
                    </w:rPr>
                  </w:pPr>
                  <w:r>
                    <w:rPr>
                      <w:rFonts w:hint="default"/>
                      <w:b/>
                      <w:bCs/>
                      <w:sz w:val="18"/>
                      <w:szCs w:val="18"/>
                      <w:lang w:val="en-US" w:eastAsia="zh-CN"/>
                    </w:rPr>
                    <w:t>产污环节</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eastAsia"/>
                      <w:b/>
                      <w:bCs/>
                      <w:sz w:val="18"/>
                      <w:szCs w:val="18"/>
                      <w:lang w:val="en-US" w:eastAsia="zh-CN"/>
                    </w:rPr>
                  </w:pPr>
                  <w:r>
                    <w:rPr>
                      <w:rFonts w:hint="eastAsia"/>
                      <w:b/>
                      <w:bCs/>
                      <w:sz w:val="18"/>
                      <w:szCs w:val="18"/>
                      <w:lang w:val="en-US" w:eastAsia="zh-CN"/>
                    </w:rPr>
                    <w:t>污染物</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名称</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废气</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产生量</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w:t>
                  </w:r>
                  <w:r>
                    <w:rPr>
                      <w:rFonts w:hint="default"/>
                      <w:b/>
                      <w:bCs/>
                      <w:sz w:val="18"/>
                      <w:szCs w:val="18"/>
                      <w:lang w:val="en-US" w:eastAsia="zh-CN"/>
                    </w:rPr>
                    <w:t>t</w:t>
                  </w:r>
                  <w:r>
                    <w:rPr>
                      <w:rFonts w:hint="default"/>
                      <w:b/>
                      <w:bCs/>
                      <w:sz w:val="18"/>
                      <w:szCs w:val="18"/>
                    </w:rPr>
                    <w:t>/a）</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收集</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效率</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有组织</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收集量</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w:t>
                  </w:r>
                  <w:r>
                    <w:rPr>
                      <w:rFonts w:hint="default"/>
                      <w:b/>
                      <w:bCs/>
                      <w:sz w:val="18"/>
                      <w:szCs w:val="18"/>
                      <w:lang w:val="en-US" w:eastAsia="zh-CN"/>
                    </w:rPr>
                    <w:t>t</w:t>
                  </w:r>
                  <w:r>
                    <w:rPr>
                      <w:rFonts w:hint="default"/>
                      <w:b/>
                      <w:bCs/>
                      <w:sz w:val="18"/>
                      <w:szCs w:val="18"/>
                    </w:rPr>
                    <w:t>/a）</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lang w:val="en-US" w:eastAsia="zh-CN"/>
                    </w:rPr>
                  </w:pPr>
                  <w:r>
                    <w:rPr>
                      <w:rFonts w:hint="default"/>
                      <w:b/>
                      <w:bCs/>
                      <w:sz w:val="18"/>
                      <w:szCs w:val="18"/>
                      <w:lang w:val="en-US" w:eastAsia="zh-CN"/>
                    </w:rPr>
                    <w:t>治理措</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lang w:val="en-US" w:eastAsia="zh-CN"/>
                    </w:rPr>
                    <w:t>施及</w:t>
                  </w:r>
                  <w:r>
                    <w:rPr>
                      <w:rFonts w:hint="default"/>
                      <w:b/>
                      <w:bCs/>
                      <w:sz w:val="18"/>
                      <w:szCs w:val="18"/>
                    </w:rPr>
                    <w:t>净</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化效率</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lang w:val="en-US" w:eastAsia="zh-CN"/>
                    </w:rPr>
                  </w:pPr>
                  <w:r>
                    <w:rPr>
                      <w:rFonts w:hint="default"/>
                      <w:b/>
                      <w:bCs/>
                      <w:sz w:val="18"/>
                      <w:szCs w:val="18"/>
                      <w:lang w:val="en-US" w:eastAsia="zh-CN"/>
                    </w:rPr>
                    <w:t>是否为</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lang w:val="en-US" w:eastAsia="zh-CN"/>
                    </w:rPr>
                  </w:pPr>
                  <w:r>
                    <w:rPr>
                      <w:rFonts w:hint="default"/>
                      <w:b/>
                      <w:bCs/>
                      <w:sz w:val="18"/>
                      <w:szCs w:val="18"/>
                      <w:lang w:val="en-US" w:eastAsia="zh-CN"/>
                    </w:rPr>
                    <w:t>可行</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lang w:val="en-US" w:eastAsia="zh-CN"/>
                    </w:rPr>
                  </w:pPr>
                  <w:r>
                    <w:rPr>
                      <w:rFonts w:hint="default"/>
                      <w:b/>
                      <w:bCs/>
                      <w:sz w:val="18"/>
                      <w:szCs w:val="18"/>
                      <w:lang w:val="en-US" w:eastAsia="zh-CN"/>
                    </w:rPr>
                    <w:t>技术</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排气筒</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编号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有组织</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排放量</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w:t>
                  </w:r>
                  <w:r>
                    <w:rPr>
                      <w:rFonts w:hint="default"/>
                      <w:b/>
                      <w:bCs/>
                      <w:sz w:val="18"/>
                      <w:szCs w:val="18"/>
                      <w:lang w:val="en-US" w:eastAsia="zh-CN"/>
                    </w:rPr>
                    <w:t>t</w:t>
                  </w:r>
                  <w:r>
                    <w:rPr>
                      <w:rFonts w:hint="default"/>
                      <w:b/>
                      <w:bCs/>
                      <w:sz w:val="18"/>
                      <w:szCs w:val="18"/>
                    </w:rPr>
                    <w:t>/a）</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无组织</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排放量</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b/>
                      <w:bCs/>
                      <w:sz w:val="18"/>
                      <w:szCs w:val="18"/>
                    </w:rPr>
                  </w:pPr>
                  <w:r>
                    <w:rPr>
                      <w:rFonts w:hint="default"/>
                      <w:b/>
                      <w:bCs/>
                      <w:sz w:val="18"/>
                      <w:szCs w:val="18"/>
                    </w:rPr>
                    <w:t>（</w:t>
                  </w:r>
                  <w:r>
                    <w:rPr>
                      <w:rFonts w:hint="default"/>
                      <w:b/>
                      <w:bCs/>
                      <w:sz w:val="18"/>
                      <w:szCs w:val="18"/>
                      <w:lang w:val="en-US" w:eastAsia="zh-CN"/>
                    </w:rPr>
                    <w:t>t</w:t>
                  </w:r>
                  <w:r>
                    <w:rPr>
                      <w:rFonts w:hint="default"/>
                      <w:b/>
                      <w:bCs/>
                      <w:sz w:val="18"/>
                      <w:szCs w:val="18"/>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40" w:type="dxa"/>
                  <w:left w:w="40" w:type="dxa"/>
                  <w:bottom w:w="40" w:type="dxa"/>
                  <w:right w:w="40" w:type="dxa"/>
                </w:tblCellMar>
              </w:tblPrEx>
              <w:trPr>
                <w:trHeight w:val="340" w:hRule="atLeast"/>
              </w:trPr>
              <w:tc>
                <w:tcPr>
                  <w:tcW w:w="6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lang w:eastAsia="zh-CN"/>
                    </w:rPr>
                  </w:pPr>
                  <w:r>
                    <w:rPr>
                      <w:rFonts w:hint="eastAsia"/>
                      <w:sz w:val="18"/>
                      <w:szCs w:val="18"/>
                      <w:lang w:val="en-US" w:eastAsia="zh-CN"/>
                    </w:rPr>
                    <w:t>注塑</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lang w:eastAsia="zh-CN"/>
                    </w:rPr>
                  </w:pPr>
                  <w:r>
                    <w:rPr>
                      <w:rFonts w:hint="default"/>
                      <w:sz w:val="18"/>
                      <w:szCs w:val="18"/>
                      <w:lang w:eastAsia="zh-CN"/>
                    </w:rPr>
                    <w:t>非甲烷</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lang w:eastAsia="zh-CN"/>
                    </w:rPr>
                  </w:pPr>
                  <w:r>
                    <w:rPr>
                      <w:rFonts w:hint="default"/>
                      <w:sz w:val="18"/>
                      <w:szCs w:val="18"/>
                      <w:lang w:eastAsia="zh-CN"/>
                    </w:rPr>
                    <w:t>总烃</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eastAsia="宋体"/>
                      <w:sz w:val="18"/>
                      <w:szCs w:val="18"/>
                      <w:lang w:val="en-US" w:eastAsia="zh-CN"/>
                    </w:rPr>
                  </w:pPr>
                  <w:r>
                    <w:rPr>
                      <w:rFonts w:hint="eastAsia"/>
                      <w:sz w:val="18"/>
                      <w:szCs w:val="18"/>
                      <w:lang w:val="en-US" w:eastAsia="zh-CN"/>
                    </w:rPr>
                    <w:t>0.095</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rPr>
                  </w:pPr>
                  <w:r>
                    <w:rPr>
                      <w:rFonts w:hint="default"/>
                      <w:sz w:val="18"/>
                      <w:szCs w:val="18"/>
                    </w:rPr>
                    <w:t>9</w:t>
                  </w:r>
                  <w:r>
                    <w:rPr>
                      <w:rFonts w:hint="eastAsia"/>
                      <w:sz w:val="18"/>
                      <w:szCs w:val="18"/>
                      <w:lang w:val="en-US" w:eastAsia="zh-CN"/>
                    </w:rPr>
                    <w:t>0</w:t>
                  </w:r>
                  <w:r>
                    <w:rPr>
                      <w:rFonts w:hint="default"/>
                      <w:sz w:val="18"/>
                      <w:szCs w:val="18"/>
                    </w:rPr>
                    <w:t>%</w:t>
                  </w:r>
                </w:p>
              </w:tc>
              <w:tc>
                <w:tcPr>
                  <w:tcW w:w="5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sz w:val="18"/>
                      <w:szCs w:val="18"/>
                      <w:lang w:val="en-US" w:eastAsia="zh-CN"/>
                    </w:rPr>
                  </w:pPr>
                  <w:r>
                    <w:rPr>
                      <w:rFonts w:hint="eastAsia"/>
                      <w:sz w:val="18"/>
                      <w:szCs w:val="18"/>
                      <w:lang w:val="en-US" w:eastAsia="zh-CN"/>
                    </w:rPr>
                    <w:t>0.086</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lang w:val="en-US" w:eastAsia="zh-CN"/>
                    </w:rPr>
                  </w:pPr>
                  <w:r>
                    <w:rPr>
                      <w:rFonts w:hint="default"/>
                      <w:sz w:val="18"/>
                      <w:szCs w:val="18"/>
                      <w:lang w:val="en-US" w:eastAsia="zh-CN"/>
                    </w:rPr>
                    <w:t>活性炭</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lang w:val="en-US" w:eastAsia="zh-CN"/>
                    </w:rPr>
                  </w:pPr>
                  <w:r>
                    <w:rPr>
                      <w:rFonts w:hint="default"/>
                      <w:sz w:val="18"/>
                      <w:szCs w:val="18"/>
                      <w:lang w:val="en-US" w:eastAsia="zh-CN"/>
                    </w:rPr>
                    <w:t>吸附，</w:t>
                  </w:r>
                </w:p>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rPr>
                  </w:pPr>
                  <w:r>
                    <w:rPr>
                      <w:rFonts w:hint="eastAsia"/>
                      <w:sz w:val="18"/>
                      <w:szCs w:val="18"/>
                      <w:lang w:val="en-US" w:eastAsia="zh-CN"/>
                    </w:rPr>
                    <w:t>9</w:t>
                  </w:r>
                  <w:r>
                    <w:rPr>
                      <w:rFonts w:hint="default"/>
                      <w:sz w:val="18"/>
                      <w:szCs w:val="18"/>
                    </w:rPr>
                    <w:t>0%</w:t>
                  </w:r>
                </w:p>
              </w:tc>
              <w:tc>
                <w:tcPr>
                  <w:tcW w:w="500" w:type="pct"/>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rPr>
                      <w:rFonts w:hint="default"/>
                      <w:sz w:val="18"/>
                      <w:szCs w:val="18"/>
                      <w:lang w:val="en-US" w:eastAsia="zh-CN"/>
                    </w:rPr>
                  </w:pPr>
                  <w:r>
                    <w:rPr>
                      <w:rFonts w:hint="default"/>
                      <w:sz w:val="18"/>
                      <w:szCs w:val="18"/>
                    </w:rPr>
                    <w:sym w:font="Wingdings 2" w:char="0052"/>
                  </w:r>
                  <w:r>
                    <w:rPr>
                      <w:rFonts w:hint="default"/>
                      <w:sz w:val="18"/>
                      <w:szCs w:val="18"/>
                      <w:lang w:val="en-US" w:eastAsia="zh-CN"/>
                    </w:rPr>
                    <w:t>是</w:t>
                  </w:r>
                </w:p>
                <w:p>
                  <w:pPr>
                    <w:pStyle w:val="6"/>
                    <w:keepNext w:val="0"/>
                    <w:keepLines w:val="0"/>
                    <w:pageBreakBefore w:val="0"/>
                    <w:widowControl/>
                    <w:kinsoku/>
                    <w:wordWrap/>
                    <w:overflowPunct/>
                    <w:topLinePunct w:val="0"/>
                    <w:autoSpaceDE/>
                    <w:autoSpaceDN/>
                    <w:bidi w:val="0"/>
                    <w:adjustRightInd/>
                    <w:snapToGrid/>
                    <w:spacing w:before="0" w:after="0" w:line="240" w:lineRule="auto"/>
                    <w:ind w:right="0"/>
                    <w:jc w:val="center"/>
                    <w:rPr>
                      <w:rFonts w:hint="default"/>
                      <w:sz w:val="18"/>
                      <w:szCs w:val="18"/>
                    </w:rPr>
                  </w:pPr>
                  <w:r>
                    <w:rPr>
                      <w:rFonts w:hint="default"/>
                      <w:sz w:val="18"/>
                      <w:szCs w:val="18"/>
                    </w:rPr>
                    <w:sym w:font="Wingdings 2" w:char="00A3"/>
                  </w:r>
                  <w:r>
                    <w:rPr>
                      <w:rFonts w:hint="default"/>
                      <w:sz w:val="18"/>
                      <w:szCs w:val="18"/>
                      <w:lang w:val="en-US" w:eastAsia="zh-CN"/>
                    </w:rPr>
                    <w:t>否</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sz w:val="18"/>
                      <w:szCs w:val="18"/>
                    </w:rPr>
                  </w:pPr>
                  <w:r>
                    <w:rPr>
                      <w:rFonts w:hint="eastAsia"/>
                      <w:sz w:val="18"/>
                      <w:szCs w:val="18"/>
                      <w:lang w:val="en-US" w:eastAsia="zh-CN"/>
                    </w:rPr>
                    <w:t>P</w:t>
                  </w:r>
                  <w:r>
                    <w:rPr>
                      <w:rFonts w:hint="default"/>
                      <w:sz w:val="18"/>
                      <w:szCs w:val="18"/>
                    </w:rPr>
                    <w:t>1</w:t>
                  </w:r>
                </w:p>
              </w:tc>
              <w:tc>
                <w:tcPr>
                  <w:tcW w:w="5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sz w:val="18"/>
                      <w:szCs w:val="18"/>
                      <w:lang w:val="en-US" w:eastAsia="zh-CN"/>
                    </w:rPr>
                  </w:pPr>
                  <w:r>
                    <w:rPr>
                      <w:rFonts w:hint="eastAsia"/>
                      <w:sz w:val="18"/>
                      <w:szCs w:val="18"/>
                      <w:lang w:val="en-US" w:eastAsia="zh-CN"/>
                    </w:rPr>
                    <w:t>0.009</w:t>
                  </w:r>
                </w:p>
              </w:tc>
              <w:tc>
                <w:tcPr>
                  <w:tcW w:w="5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sz w:val="18"/>
                      <w:szCs w:val="18"/>
                      <w:lang w:val="en-US" w:eastAsia="zh-CN"/>
                    </w:rPr>
                  </w:pPr>
                  <w:r>
                    <w:rPr>
                      <w:rFonts w:hint="eastAsia"/>
                      <w:sz w:val="18"/>
                      <w:szCs w:val="18"/>
                      <w:lang w:val="en-US" w:eastAsia="zh-CN"/>
                    </w:rPr>
                    <w:t>0.01</w:t>
                  </w:r>
                </w:p>
              </w:tc>
            </w:tr>
          </w:tbl>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本项目</w:t>
            </w:r>
            <w:r>
              <w:rPr>
                <w:rFonts w:hint="default" w:ascii="Times New Roman" w:hAnsi="Times New Roman" w:cs="Times New Roman"/>
                <w:b/>
                <w:bCs/>
                <w:color w:val="auto"/>
                <w:highlight w:val="none"/>
                <w:lang w:eastAsia="zh-CN"/>
              </w:rPr>
              <w:t>有组织废气</w:t>
            </w: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lang w:eastAsia="zh-CN"/>
              </w:rPr>
              <w:t>排放情况</w:t>
            </w:r>
            <w:r>
              <w:rPr>
                <w:rFonts w:hint="default" w:ascii="Times New Roman" w:hAnsi="Times New Roman" w:cs="Times New Roman"/>
                <w:b/>
                <w:bCs/>
                <w:color w:val="auto"/>
                <w:highlight w:val="none"/>
                <w:lang w:val="en-US" w:eastAsia="zh-CN"/>
              </w:rPr>
              <w:t>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5"/>
              <w:gridCol w:w="526"/>
              <w:gridCol w:w="644"/>
              <w:gridCol w:w="476"/>
              <w:gridCol w:w="463"/>
              <w:gridCol w:w="544"/>
              <w:gridCol w:w="425"/>
              <w:gridCol w:w="493"/>
              <w:gridCol w:w="508"/>
              <w:gridCol w:w="379"/>
              <w:gridCol w:w="707"/>
              <w:gridCol w:w="542"/>
              <w:gridCol w:w="375"/>
              <w:gridCol w:w="377"/>
              <w:gridCol w:w="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rPr>
                  </w:pPr>
                  <w:r>
                    <w:rPr>
                      <w:rFonts w:hint="default"/>
                      <w:b/>
                      <w:bCs/>
                      <w:color w:val="auto"/>
                      <w:sz w:val="18"/>
                      <w:szCs w:val="18"/>
                      <w:lang w:val="en-US" w:eastAsia="zh-CN"/>
                    </w:rPr>
                    <w:t>排气筒编号及地理坐标</w:t>
                  </w:r>
                </w:p>
              </w:tc>
              <w:tc>
                <w:tcPr>
                  <w:tcW w:w="340"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风量</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w:t>
                  </w:r>
                  <w:r>
                    <w:rPr>
                      <w:rFonts w:hint="default"/>
                      <w:b/>
                      <w:bCs/>
                      <w:color w:val="auto"/>
                      <w:sz w:val="18"/>
                      <w:szCs w:val="18"/>
                      <w:vertAlign w:val="superscript"/>
                      <w:lang w:val="en-US" w:eastAsia="zh-CN"/>
                    </w:rPr>
                    <w:t>3</w:t>
                  </w:r>
                  <w:r>
                    <w:rPr>
                      <w:rFonts w:hint="default"/>
                      <w:b/>
                      <w:bCs/>
                      <w:color w:val="auto"/>
                      <w:sz w:val="18"/>
                      <w:szCs w:val="18"/>
                      <w:lang w:val="en-US" w:eastAsia="zh-CN"/>
                    </w:rPr>
                    <w:t>/h</w:t>
                  </w:r>
                </w:p>
              </w:tc>
              <w:tc>
                <w:tcPr>
                  <w:tcW w:w="417"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年排放小时数</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h</w:t>
                  </w:r>
                </w:p>
              </w:tc>
              <w:tc>
                <w:tcPr>
                  <w:tcW w:w="308"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污染物名称</w:t>
                  </w:r>
                </w:p>
              </w:tc>
              <w:tc>
                <w:tcPr>
                  <w:tcW w:w="927"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产生情况</w:t>
                  </w:r>
                </w:p>
              </w:tc>
              <w:tc>
                <w:tcPr>
                  <w:tcW w:w="893"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排放情况</w:t>
                  </w:r>
                </w:p>
              </w:tc>
              <w:tc>
                <w:tcPr>
                  <w:tcW w:w="809" w:type="pct"/>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污染物</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排放标准</w:t>
                  </w:r>
                </w:p>
              </w:tc>
              <w:tc>
                <w:tcPr>
                  <w:tcW w:w="736"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排放源参数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rPr>
                      <w:rFonts w:hint="default"/>
                      <w:b/>
                      <w:bCs/>
                      <w:color w:val="auto"/>
                      <w:sz w:val="18"/>
                      <w:szCs w:val="18"/>
                    </w:rPr>
                  </w:pPr>
                </w:p>
              </w:tc>
              <w:tc>
                <w:tcPr>
                  <w:tcW w:w="340"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p>
              </w:tc>
              <w:tc>
                <w:tcPr>
                  <w:tcW w:w="417"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rPr>
                      <w:rFonts w:hint="default"/>
                      <w:b/>
                      <w:bCs/>
                      <w:color w:val="auto"/>
                      <w:sz w:val="18"/>
                      <w:szCs w:val="18"/>
                    </w:rPr>
                  </w:pPr>
                </w:p>
              </w:tc>
              <w:tc>
                <w:tcPr>
                  <w:tcW w:w="308"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rPr>
                      <w:rFonts w:hint="default"/>
                      <w:b/>
                      <w:bCs/>
                      <w:color w:val="auto"/>
                      <w:sz w:val="18"/>
                      <w:szCs w:val="18"/>
                    </w:rPr>
                  </w:pPr>
                </w:p>
              </w:tc>
              <w:tc>
                <w:tcPr>
                  <w:tcW w:w="29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浓度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mg/m</w:t>
                  </w:r>
                  <w:r>
                    <w:rPr>
                      <w:rFonts w:hint="default"/>
                      <w:b/>
                      <w:bCs/>
                      <w:color w:val="auto"/>
                      <w:sz w:val="18"/>
                      <w:szCs w:val="18"/>
                      <w:vertAlign w:val="superscript"/>
                      <w:lang w:val="en-US" w:eastAsia="zh-CN"/>
                    </w:rPr>
                    <w:t>3</w:t>
                  </w:r>
                </w:p>
              </w:tc>
              <w:tc>
                <w:tcPr>
                  <w:tcW w:w="352"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速率</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kg/a</w:t>
                  </w:r>
                </w:p>
              </w:tc>
              <w:tc>
                <w:tcPr>
                  <w:tcW w:w="2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量</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eastAsia"/>
                      <w:b/>
                      <w:bCs/>
                      <w:color w:val="auto"/>
                      <w:sz w:val="18"/>
                      <w:szCs w:val="18"/>
                      <w:lang w:val="en-US" w:eastAsia="zh-CN"/>
                    </w:rPr>
                    <w:t>t</w:t>
                  </w:r>
                  <w:r>
                    <w:rPr>
                      <w:rFonts w:hint="default"/>
                      <w:b/>
                      <w:bCs/>
                      <w:color w:val="auto"/>
                      <w:sz w:val="18"/>
                      <w:szCs w:val="18"/>
                      <w:lang w:val="en-US" w:eastAsia="zh-CN"/>
                    </w:rPr>
                    <w:t>/a</w:t>
                  </w:r>
                </w:p>
              </w:tc>
              <w:tc>
                <w:tcPr>
                  <w:tcW w:w="3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浓度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mg/m</w:t>
                  </w:r>
                  <w:r>
                    <w:rPr>
                      <w:rFonts w:hint="default"/>
                      <w:b/>
                      <w:bCs/>
                      <w:color w:val="auto"/>
                      <w:sz w:val="18"/>
                      <w:szCs w:val="18"/>
                      <w:vertAlign w:val="superscript"/>
                      <w:lang w:val="en-US" w:eastAsia="zh-CN"/>
                    </w:rPr>
                    <w:t>3</w:t>
                  </w:r>
                </w:p>
              </w:tc>
              <w:tc>
                <w:tcPr>
                  <w:tcW w:w="32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速率</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kg/h</w:t>
                  </w:r>
                </w:p>
              </w:tc>
              <w:tc>
                <w:tcPr>
                  <w:tcW w:w="2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量</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eastAsia"/>
                      <w:b/>
                      <w:bCs/>
                      <w:color w:val="auto"/>
                      <w:sz w:val="18"/>
                      <w:szCs w:val="18"/>
                      <w:lang w:val="en-US" w:eastAsia="zh-CN"/>
                    </w:rPr>
                    <w:t>t</w:t>
                  </w:r>
                  <w:r>
                    <w:rPr>
                      <w:rFonts w:hint="default"/>
                      <w:b/>
                      <w:bCs/>
                      <w:color w:val="auto"/>
                      <w:sz w:val="18"/>
                      <w:szCs w:val="18"/>
                      <w:lang w:val="en-US" w:eastAsia="zh-CN"/>
                    </w:rPr>
                    <w:t>/a</w:t>
                  </w:r>
                </w:p>
              </w:tc>
              <w:tc>
                <w:tcPr>
                  <w:tcW w:w="45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浓度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mg/m</w:t>
                  </w:r>
                  <w:r>
                    <w:rPr>
                      <w:rFonts w:hint="default"/>
                      <w:b/>
                      <w:bCs/>
                      <w:color w:val="auto"/>
                      <w:sz w:val="18"/>
                      <w:szCs w:val="18"/>
                      <w:vertAlign w:val="superscript"/>
                      <w:lang w:val="en-US" w:eastAsia="zh-CN"/>
                    </w:rPr>
                    <w:t>3</w:t>
                  </w:r>
                </w:p>
              </w:tc>
              <w:tc>
                <w:tcPr>
                  <w:tcW w:w="3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速率</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kg/h</w:t>
                  </w:r>
                </w:p>
              </w:tc>
              <w:tc>
                <w:tcPr>
                  <w:tcW w:w="2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温度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w:t>
                  </w:r>
                </w:p>
              </w:tc>
              <w:tc>
                <w:tcPr>
                  <w:tcW w:w="2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高度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m</w:t>
                  </w:r>
                </w:p>
              </w:tc>
              <w:tc>
                <w:tcPr>
                  <w:tcW w:w="24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直径</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default"/>
                      <w:color w:val="auto"/>
                      <w:sz w:val="18"/>
                      <w:szCs w:val="18"/>
                      <w:lang w:val="en-US" w:eastAsia="zh-CN"/>
                    </w:rPr>
                    <w:t>P1</w:t>
                  </w:r>
                </w:p>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color w:val="auto"/>
                      <w:sz w:val="18"/>
                      <w:szCs w:val="18"/>
                      <w:lang w:val="en-US"/>
                    </w:rPr>
                  </w:pPr>
                  <w:r>
                    <w:rPr>
                      <w:rFonts w:hint="default" w:ascii="Times New Roman" w:hAnsi="Times New Roman" w:cs="Times New Roman"/>
                      <w:color w:val="auto"/>
                      <w:sz w:val="18"/>
                      <w:szCs w:val="18"/>
                      <w:highlight w:val="none"/>
                      <w:lang w:val="en-US" w:eastAsia="zh-CN"/>
                    </w:rPr>
                    <w:t>120°39′56.468"</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31°19′38.359"</w:t>
                  </w:r>
                </w:p>
              </w:tc>
              <w:tc>
                <w:tcPr>
                  <w:tcW w:w="34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6000</w:t>
                  </w:r>
                </w:p>
              </w:tc>
              <w:tc>
                <w:tcPr>
                  <w:tcW w:w="417"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6000</w:t>
                  </w:r>
                </w:p>
              </w:tc>
              <w:tc>
                <w:tcPr>
                  <w:tcW w:w="308" w:type="pc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color w:val="auto"/>
                      <w:sz w:val="18"/>
                      <w:szCs w:val="18"/>
                    </w:rPr>
                  </w:pPr>
                  <w:r>
                    <w:rPr>
                      <w:rFonts w:hint="default"/>
                      <w:color w:val="auto"/>
                      <w:sz w:val="18"/>
                      <w:szCs w:val="18"/>
                      <w:lang w:eastAsia="zh-CN"/>
                    </w:rPr>
                    <w:t>非甲烷总烃</w:t>
                  </w:r>
                </w:p>
              </w:tc>
              <w:tc>
                <w:tcPr>
                  <w:tcW w:w="29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2.38</w:t>
                  </w:r>
                </w:p>
              </w:tc>
              <w:tc>
                <w:tcPr>
                  <w:tcW w:w="352"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0.0143</w:t>
                  </w:r>
                </w:p>
              </w:tc>
              <w:tc>
                <w:tcPr>
                  <w:tcW w:w="2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0.086</w:t>
                  </w:r>
                </w:p>
              </w:tc>
              <w:tc>
                <w:tcPr>
                  <w:tcW w:w="3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0.25</w:t>
                  </w:r>
                </w:p>
              </w:tc>
              <w:tc>
                <w:tcPr>
                  <w:tcW w:w="32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0.0015</w:t>
                  </w:r>
                </w:p>
              </w:tc>
              <w:tc>
                <w:tcPr>
                  <w:tcW w:w="2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0.009</w:t>
                  </w:r>
                </w:p>
              </w:tc>
              <w:tc>
                <w:tcPr>
                  <w:tcW w:w="45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eastAsia"/>
                      <w:color w:val="auto"/>
                      <w:sz w:val="18"/>
                      <w:szCs w:val="18"/>
                      <w:lang w:val="en-US" w:eastAsia="zh-CN"/>
                    </w:rPr>
                    <w:t>60</w:t>
                  </w:r>
                </w:p>
              </w:tc>
              <w:tc>
                <w:tcPr>
                  <w:tcW w:w="3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2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20</w:t>
                  </w:r>
                </w:p>
              </w:tc>
              <w:tc>
                <w:tcPr>
                  <w:tcW w:w="2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default"/>
                      <w:color w:val="auto"/>
                      <w:sz w:val="18"/>
                      <w:szCs w:val="18"/>
                      <w:lang w:val="en-US" w:eastAsia="zh-CN"/>
                    </w:rPr>
                    <w:t>15</w:t>
                  </w:r>
                </w:p>
              </w:tc>
              <w:tc>
                <w:tcPr>
                  <w:tcW w:w="24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rPr>
                  </w:pPr>
                  <w:r>
                    <w:rPr>
                      <w:rFonts w:hint="default"/>
                      <w:color w:val="auto"/>
                      <w:sz w:val="18"/>
                      <w:szCs w:val="18"/>
                      <w:lang w:val="en-US" w:eastAsia="zh-CN"/>
                    </w:rPr>
                    <w:t>0.4</w:t>
                  </w:r>
                </w:p>
              </w:tc>
            </w:tr>
          </w:tbl>
          <w:p>
            <w:pPr>
              <w:pStyle w:val="29"/>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9"/>
              <w:rPr>
                <w:rFonts w:hint="default" w:ascii="Times New Roman" w:hAnsi="Times New Roman" w:cs="Times New Roman"/>
                <w:b/>
                <w:bCs/>
                <w:color w:val="auto"/>
                <w:sz w:val="21"/>
                <w:szCs w:val="21"/>
                <w:highlight w:val="none"/>
                <w:lang w:val="en-US" w:eastAsia="zh-CN"/>
              </w:rPr>
            </w:pPr>
          </w:p>
          <w:p>
            <w:pPr>
              <w:pStyle w:val="29"/>
              <w:keepNext w:val="0"/>
              <w:keepLines w:val="0"/>
              <w:pageBreakBefore w:val="0"/>
              <w:widowControl w:val="0"/>
              <w:kinsoku/>
              <w:wordWrap/>
              <w:overflowPunct/>
              <w:topLinePunct w:val="0"/>
              <w:autoSpaceDE/>
              <w:autoSpaceDN/>
              <w:bidi w:val="0"/>
              <w:adjustRightInd/>
              <w:snapToGrid/>
              <w:spacing w:before="0" w:line="240" w:lineRule="auto"/>
              <w:ind w:right="0"/>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b/>
                <w:bCs/>
                <w:color w:val="auto"/>
                <w:sz w:val="21"/>
                <w:szCs w:val="21"/>
                <w:highlight w:val="none"/>
                <w:lang w:val="en-US" w:eastAsia="zh-CN"/>
              </w:rPr>
              <w:t>本项目</w:t>
            </w:r>
            <w:r>
              <w:rPr>
                <w:rFonts w:hint="default" w:ascii="Times New Roman" w:hAnsi="Times New Roman" w:cs="Times New Roman"/>
                <w:b/>
                <w:bCs/>
                <w:color w:val="auto"/>
                <w:sz w:val="21"/>
                <w:szCs w:val="21"/>
                <w:highlight w:val="none"/>
                <w:lang w:val="en-US" w:eastAsia="zh-CN"/>
              </w:rPr>
              <w:t>无组织废气产生排放情况</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98"/>
              <w:gridCol w:w="900"/>
              <w:gridCol w:w="900"/>
              <w:gridCol w:w="826"/>
              <w:gridCol w:w="676"/>
              <w:gridCol w:w="801"/>
              <w:gridCol w:w="680"/>
              <w:gridCol w:w="677"/>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产污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环节</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rPr>
                    <w:t>污染物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名称</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rPr>
                    <w:t>产生量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lang w:val="en-US" w:eastAsia="zh-CN"/>
                    </w:rPr>
                    <w:t>t/a</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rPr>
                    <w:t>削减量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lang w:val="en-US" w:eastAsia="zh-CN"/>
                    </w:rPr>
                    <w:t>t/a</w:t>
                  </w:r>
                </w:p>
              </w:tc>
              <w:tc>
                <w:tcPr>
                  <w:tcW w:w="5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rPr>
                    <w:t>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rPr>
                  </w:pPr>
                  <w:r>
                    <w:rPr>
                      <w:rFonts w:hint="default"/>
                      <w:b/>
                      <w:bCs/>
                      <w:color w:val="auto"/>
                      <w:sz w:val="18"/>
                      <w:szCs w:val="18"/>
                      <w:lang w:val="en-US" w:eastAsia="zh-CN"/>
                    </w:rPr>
                    <w:t>t/a</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18"/>
                      <w:szCs w:val="18"/>
                      <w:lang w:val="en-US" w:eastAsia="zh-CN"/>
                    </w:rPr>
                  </w:pPr>
                  <w:r>
                    <w:rPr>
                      <w:rFonts w:hint="eastAsia"/>
                      <w:b/>
                      <w:bCs/>
                      <w:color w:val="auto"/>
                      <w:sz w:val="18"/>
                      <w:szCs w:val="18"/>
                      <w:lang w:val="en-US" w:eastAsia="zh-CN"/>
                    </w:rPr>
                    <w:t>时间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eastAsia"/>
                      <w:b/>
                      <w:bCs/>
                      <w:color w:val="auto"/>
                      <w:sz w:val="18"/>
                      <w:szCs w:val="18"/>
                      <w:lang w:val="en-US" w:eastAsia="zh-CN"/>
                    </w:rPr>
                    <w:t>h</w:t>
                  </w:r>
                </w:p>
              </w:tc>
              <w:tc>
                <w:tcPr>
                  <w:tcW w:w="5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jc w:val="center"/>
                    <w:rPr>
                      <w:rFonts w:hint="default"/>
                      <w:b/>
                      <w:bCs/>
                      <w:color w:val="auto"/>
                      <w:sz w:val="18"/>
                      <w:szCs w:val="18"/>
                    </w:rPr>
                  </w:pPr>
                  <w:r>
                    <w:rPr>
                      <w:rFonts w:hint="default"/>
                      <w:b/>
                      <w:bCs/>
                      <w:color w:val="auto"/>
                      <w:sz w:val="18"/>
                      <w:szCs w:val="18"/>
                    </w:rPr>
                    <w:t>排放</w:t>
                  </w:r>
                </w:p>
                <w:p>
                  <w:pPr>
                    <w:keepNext w:val="0"/>
                    <w:keepLines w:val="0"/>
                    <w:pageBreakBefore w:val="0"/>
                    <w:kinsoku/>
                    <w:wordWrap/>
                    <w:overflowPunct/>
                    <w:topLinePunct w:val="0"/>
                    <w:autoSpaceDE/>
                    <w:autoSpaceDN/>
                    <w:bidi w:val="0"/>
                    <w:adjustRightInd/>
                    <w:snapToGrid/>
                    <w:jc w:val="center"/>
                    <w:rPr>
                      <w:rFonts w:hint="default"/>
                      <w:b/>
                      <w:bCs/>
                      <w:color w:val="auto"/>
                      <w:sz w:val="18"/>
                      <w:szCs w:val="18"/>
                    </w:rPr>
                  </w:pPr>
                  <w:r>
                    <w:rPr>
                      <w:rFonts w:hint="default"/>
                      <w:b/>
                      <w:bCs/>
                      <w:color w:val="auto"/>
                      <w:sz w:val="18"/>
                      <w:szCs w:val="18"/>
                    </w:rPr>
                    <w:t>速率</w:t>
                  </w:r>
                </w:p>
                <w:p>
                  <w:pPr>
                    <w:keepNext w:val="0"/>
                    <w:keepLines w:val="0"/>
                    <w:pageBreakBefore w:val="0"/>
                    <w:kinsoku/>
                    <w:wordWrap/>
                    <w:overflowPunct/>
                    <w:topLinePunct w:val="0"/>
                    <w:autoSpaceDE/>
                    <w:autoSpaceDN/>
                    <w:bidi w:val="0"/>
                    <w:adjustRightInd/>
                    <w:snapToGrid/>
                    <w:jc w:val="center"/>
                    <w:rPr>
                      <w:rFonts w:hint="default"/>
                      <w:b/>
                      <w:bCs/>
                      <w:color w:val="auto"/>
                      <w:sz w:val="18"/>
                      <w:szCs w:val="18"/>
                    </w:rPr>
                  </w:pPr>
                  <w:r>
                    <w:rPr>
                      <w:rFonts w:hint="default"/>
                      <w:b/>
                      <w:bCs/>
                      <w:color w:val="auto"/>
                      <w:sz w:val="18"/>
                      <w:szCs w:val="18"/>
                    </w:rPr>
                    <w:t>kg/h</w:t>
                  </w:r>
                </w:p>
              </w:tc>
              <w:tc>
                <w:tcPr>
                  <w:tcW w:w="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面源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eastAsia"/>
                      <w:b/>
                      <w:bCs/>
                      <w:color w:val="auto"/>
                      <w:sz w:val="18"/>
                      <w:szCs w:val="18"/>
                      <w:lang w:val="en-US" w:eastAsia="zh-CN"/>
                    </w:rPr>
                    <w:t>长</w:t>
                  </w:r>
                  <w:r>
                    <w:rPr>
                      <w:rFonts w:hint="default"/>
                      <w:b/>
                      <w:bCs/>
                      <w:color w:val="auto"/>
                      <w:sz w:val="18"/>
                      <w:szCs w:val="18"/>
                      <w:lang w:val="en-US" w:eastAsia="zh-CN"/>
                    </w:rPr>
                    <w:t>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m</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面源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eastAsia"/>
                      <w:b/>
                      <w:bCs/>
                      <w:color w:val="auto"/>
                      <w:sz w:val="18"/>
                      <w:szCs w:val="18"/>
                      <w:lang w:val="en-US" w:eastAsia="zh-CN"/>
                    </w:rPr>
                    <w:t>宽</w:t>
                  </w:r>
                  <w:r>
                    <w:rPr>
                      <w:rFonts w:hint="default"/>
                      <w:b/>
                      <w:bCs/>
                      <w:color w:val="auto"/>
                      <w:sz w:val="18"/>
                      <w:szCs w:val="18"/>
                      <w:lang w:val="en-US" w:eastAsia="zh-CN"/>
                    </w:rPr>
                    <w:t>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m</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面源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高度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18"/>
                      <w:szCs w:val="18"/>
                      <w:lang w:val="en-US" w:eastAsia="zh-CN"/>
                    </w:rPr>
                  </w:pPr>
                  <w:r>
                    <w:rPr>
                      <w:rFonts w:hint="default"/>
                      <w:b/>
                      <w:bCs/>
                      <w:color w:val="auto"/>
                      <w:sz w:val="18"/>
                      <w:szCs w:val="18"/>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rFonts w:hint="eastAsia"/>
                      <w:color w:val="auto"/>
                      <w:sz w:val="18"/>
                      <w:szCs w:val="18"/>
                      <w:lang w:val="en-US" w:eastAsia="zh-CN"/>
                    </w:rPr>
                    <w:t>注塑</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rPr>
                  </w:pPr>
                  <w:r>
                    <w:rPr>
                      <w:rFonts w:hint="default"/>
                      <w:color w:val="auto"/>
                      <w:sz w:val="18"/>
                      <w:szCs w:val="18"/>
                    </w:rPr>
                    <w:t>非甲烷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rPr>
                  </w:pPr>
                  <w:r>
                    <w:rPr>
                      <w:rFonts w:hint="default"/>
                      <w:color w:val="auto"/>
                      <w:sz w:val="18"/>
                      <w:szCs w:val="18"/>
                    </w:rPr>
                    <w:t>总烃</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0.01</w:t>
                  </w:r>
                </w:p>
              </w:tc>
              <w:tc>
                <w:tcPr>
                  <w:tcW w:w="5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0</w:t>
                  </w:r>
                </w:p>
              </w:tc>
              <w:tc>
                <w:tcPr>
                  <w:tcW w:w="5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18"/>
                      <w:szCs w:val="18"/>
                      <w:lang w:val="en-US" w:eastAsia="zh-CN"/>
                    </w:rPr>
                  </w:pPr>
                  <w:r>
                    <w:rPr>
                      <w:rFonts w:hint="eastAsia"/>
                      <w:color w:val="auto"/>
                      <w:sz w:val="18"/>
                      <w:szCs w:val="18"/>
                      <w:lang w:val="en-US" w:eastAsia="zh-CN"/>
                    </w:rPr>
                    <w:t>0.01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6000</w:t>
                  </w:r>
                </w:p>
              </w:tc>
              <w:tc>
                <w:tcPr>
                  <w:tcW w:w="5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olor w:val="auto"/>
                      <w:sz w:val="18"/>
                      <w:szCs w:val="18"/>
                      <w:lang w:val="en-US" w:eastAsia="zh-CN"/>
                    </w:rPr>
                  </w:pPr>
                  <w:r>
                    <w:rPr>
                      <w:rFonts w:hint="eastAsia"/>
                      <w:color w:val="auto"/>
                      <w:sz w:val="18"/>
                      <w:szCs w:val="18"/>
                      <w:lang w:val="en-US" w:eastAsia="zh-CN"/>
                    </w:rPr>
                    <w:t>0.0017</w:t>
                  </w:r>
                </w:p>
              </w:tc>
              <w:tc>
                <w:tcPr>
                  <w:tcW w:w="4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15.5</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11</w:t>
                  </w:r>
                </w:p>
              </w:tc>
              <w:tc>
                <w:tcPr>
                  <w:tcW w:w="4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18"/>
                      <w:szCs w:val="18"/>
                      <w:lang w:val="en-US" w:eastAsia="zh-CN"/>
                    </w:rPr>
                  </w:pPr>
                  <w:r>
                    <w:rPr>
                      <w:rFonts w:hint="eastAsia"/>
                      <w:color w:val="auto"/>
                      <w:sz w:val="18"/>
                      <w:szCs w:val="18"/>
                      <w:lang w:val="en-US" w:eastAsia="zh-CN"/>
                    </w:rPr>
                    <w:t>5</w:t>
                  </w:r>
                </w:p>
              </w:tc>
            </w:tr>
          </w:tbl>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全厂</w:t>
            </w:r>
            <w:r>
              <w:rPr>
                <w:rFonts w:hint="default" w:ascii="Times New Roman" w:hAnsi="Times New Roman" w:cs="Times New Roman"/>
                <w:b/>
                <w:bCs/>
                <w:color w:val="auto"/>
                <w:highlight w:val="none"/>
                <w:lang w:eastAsia="zh-CN"/>
              </w:rPr>
              <w:t>有组织废气</w:t>
            </w:r>
            <w:r>
              <w:rPr>
                <w:rFonts w:hint="default" w:ascii="Times New Roman" w:hAnsi="Times New Roman" w:cs="Times New Roman"/>
                <w:b/>
                <w:bCs/>
                <w:color w:val="auto"/>
                <w:highlight w:val="none"/>
                <w:lang w:val="en-US" w:eastAsia="zh-CN"/>
              </w:rPr>
              <w:t>产生</w:t>
            </w:r>
            <w:r>
              <w:rPr>
                <w:rFonts w:hint="default" w:ascii="Times New Roman" w:hAnsi="Times New Roman" w:cs="Times New Roman"/>
                <w:b/>
                <w:bCs/>
                <w:color w:val="auto"/>
                <w:highlight w:val="none"/>
                <w:lang w:eastAsia="zh-CN"/>
              </w:rPr>
              <w:t>排放情况</w:t>
            </w:r>
            <w:r>
              <w:rPr>
                <w:rFonts w:hint="default" w:ascii="Times New Roman" w:hAnsi="Times New Roman" w:cs="Times New Roman"/>
                <w:b/>
                <w:bCs/>
                <w:color w:val="auto"/>
                <w:highlight w:val="none"/>
                <w:lang w:val="en-US" w:eastAsia="zh-CN"/>
              </w:rPr>
              <w:t>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3"/>
              <w:gridCol w:w="589"/>
              <w:gridCol w:w="553"/>
              <w:gridCol w:w="476"/>
              <w:gridCol w:w="497"/>
              <w:gridCol w:w="510"/>
              <w:gridCol w:w="425"/>
              <w:gridCol w:w="493"/>
              <w:gridCol w:w="508"/>
              <w:gridCol w:w="379"/>
              <w:gridCol w:w="707"/>
              <w:gridCol w:w="542"/>
              <w:gridCol w:w="375"/>
              <w:gridCol w:w="377"/>
              <w:gridCol w:w="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rPr>
                  </w:pPr>
                  <w:r>
                    <w:rPr>
                      <w:rFonts w:hint="default"/>
                      <w:b/>
                      <w:bCs/>
                      <w:color w:val="auto"/>
                      <w:sz w:val="18"/>
                      <w:szCs w:val="18"/>
                      <w:lang w:val="en-US" w:eastAsia="zh-CN"/>
                    </w:rPr>
                    <w:t>排气筒编号及地理坐标</w:t>
                  </w:r>
                </w:p>
              </w:tc>
              <w:tc>
                <w:tcPr>
                  <w:tcW w:w="381"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风量</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w:t>
                  </w:r>
                  <w:r>
                    <w:rPr>
                      <w:rFonts w:hint="default"/>
                      <w:b/>
                      <w:bCs/>
                      <w:color w:val="auto"/>
                      <w:sz w:val="18"/>
                      <w:szCs w:val="18"/>
                      <w:vertAlign w:val="superscript"/>
                      <w:lang w:val="en-US" w:eastAsia="zh-CN"/>
                    </w:rPr>
                    <w:t>3</w:t>
                  </w:r>
                  <w:r>
                    <w:rPr>
                      <w:rFonts w:hint="default"/>
                      <w:b/>
                      <w:bCs/>
                      <w:color w:val="auto"/>
                      <w:sz w:val="18"/>
                      <w:szCs w:val="18"/>
                      <w:lang w:val="en-US" w:eastAsia="zh-CN"/>
                    </w:rPr>
                    <w:t>/h</w:t>
                  </w:r>
                </w:p>
              </w:tc>
              <w:tc>
                <w:tcPr>
                  <w:tcW w:w="358"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年排放小时数</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h</w:t>
                  </w:r>
                </w:p>
              </w:tc>
              <w:tc>
                <w:tcPr>
                  <w:tcW w:w="308" w:type="pct"/>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污染物名称</w:t>
                  </w:r>
                </w:p>
              </w:tc>
              <w:tc>
                <w:tcPr>
                  <w:tcW w:w="927"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产生情况</w:t>
                  </w:r>
                </w:p>
              </w:tc>
              <w:tc>
                <w:tcPr>
                  <w:tcW w:w="893"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排放情况</w:t>
                  </w:r>
                </w:p>
              </w:tc>
              <w:tc>
                <w:tcPr>
                  <w:tcW w:w="809" w:type="pct"/>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污染物</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排放标准</w:t>
                  </w:r>
                </w:p>
              </w:tc>
              <w:tc>
                <w:tcPr>
                  <w:tcW w:w="736" w:type="pct"/>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排放源参数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rPr>
                      <w:rFonts w:hint="default"/>
                      <w:b/>
                      <w:bCs/>
                      <w:color w:val="auto"/>
                      <w:sz w:val="18"/>
                      <w:szCs w:val="18"/>
                    </w:rPr>
                  </w:pPr>
                </w:p>
              </w:tc>
              <w:tc>
                <w:tcPr>
                  <w:tcW w:w="381" w:type="pct"/>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p>
              </w:tc>
              <w:tc>
                <w:tcPr>
                  <w:tcW w:w="358"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rPr>
                      <w:rFonts w:hint="default"/>
                      <w:b/>
                      <w:bCs/>
                      <w:color w:val="auto"/>
                      <w:sz w:val="18"/>
                      <w:szCs w:val="18"/>
                    </w:rPr>
                  </w:pPr>
                </w:p>
              </w:tc>
              <w:tc>
                <w:tcPr>
                  <w:tcW w:w="308" w:type="pct"/>
                  <w:vMerge w:val="continue"/>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rPr>
                      <w:rFonts w:hint="default"/>
                      <w:b/>
                      <w:bCs/>
                      <w:color w:val="auto"/>
                      <w:sz w:val="18"/>
                      <w:szCs w:val="18"/>
                    </w:rPr>
                  </w:pPr>
                </w:p>
              </w:tc>
              <w:tc>
                <w:tcPr>
                  <w:tcW w:w="321"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浓度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mg/m</w:t>
                  </w:r>
                  <w:r>
                    <w:rPr>
                      <w:rFonts w:hint="default"/>
                      <w:b/>
                      <w:bCs/>
                      <w:color w:val="auto"/>
                      <w:sz w:val="18"/>
                      <w:szCs w:val="18"/>
                      <w:vertAlign w:val="superscript"/>
                      <w:lang w:val="en-US" w:eastAsia="zh-CN"/>
                    </w:rPr>
                    <w:t>3</w:t>
                  </w:r>
                </w:p>
              </w:tc>
              <w:tc>
                <w:tcPr>
                  <w:tcW w:w="33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速率</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kg/a</w:t>
                  </w:r>
                </w:p>
              </w:tc>
              <w:tc>
                <w:tcPr>
                  <w:tcW w:w="2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产生</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量</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eastAsia"/>
                      <w:b/>
                      <w:bCs/>
                      <w:color w:val="auto"/>
                      <w:sz w:val="18"/>
                      <w:szCs w:val="18"/>
                      <w:lang w:val="en-US" w:eastAsia="zh-CN"/>
                    </w:rPr>
                    <w:t>t</w:t>
                  </w:r>
                  <w:r>
                    <w:rPr>
                      <w:rFonts w:hint="default"/>
                      <w:b/>
                      <w:bCs/>
                      <w:color w:val="auto"/>
                      <w:sz w:val="18"/>
                      <w:szCs w:val="18"/>
                      <w:lang w:val="en-US" w:eastAsia="zh-CN"/>
                    </w:rPr>
                    <w:t>/a</w:t>
                  </w:r>
                </w:p>
              </w:tc>
              <w:tc>
                <w:tcPr>
                  <w:tcW w:w="3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浓度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mg/m</w:t>
                  </w:r>
                  <w:r>
                    <w:rPr>
                      <w:rFonts w:hint="default"/>
                      <w:b/>
                      <w:bCs/>
                      <w:color w:val="auto"/>
                      <w:sz w:val="18"/>
                      <w:szCs w:val="18"/>
                      <w:vertAlign w:val="superscript"/>
                      <w:lang w:val="en-US" w:eastAsia="zh-CN"/>
                    </w:rPr>
                    <w:t>3</w:t>
                  </w:r>
                </w:p>
              </w:tc>
              <w:tc>
                <w:tcPr>
                  <w:tcW w:w="32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速率</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kg/h</w:t>
                  </w:r>
                </w:p>
              </w:tc>
              <w:tc>
                <w:tcPr>
                  <w:tcW w:w="2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量</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eastAsia"/>
                      <w:b/>
                      <w:bCs/>
                      <w:color w:val="auto"/>
                      <w:sz w:val="18"/>
                      <w:szCs w:val="18"/>
                      <w:lang w:val="en-US" w:eastAsia="zh-CN"/>
                    </w:rPr>
                    <w:t>t</w:t>
                  </w:r>
                  <w:r>
                    <w:rPr>
                      <w:rFonts w:hint="default"/>
                      <w:b/>
                      <w:bCs/>
                      <w:color w:val="auto"/>
                      <w:sz w:val="18"/>
                      <w:szCs w:val="18"/>
                      <w:lang w:val="en-US" w:eastAsia="zh-CN"/>
                    </w:rPr>
                    <w:t>/a</w:t>
                  </w:r>
                </w:p>
              </w:tc>
              <w:tc>
                <w:tcPr>
                  <w:tcW w:w="45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浓度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mg/m</w:t>
                  </w:r>
                  <w:r>
                    <w:rPr>
                      <w:rFonts w:hint="default"/>
                      <w:b/>
                      <w:bCs/>
                      <w:color w:val="auto"/>
                      <w:sz w:val="18"/>
                      <w:szCs w:val="18"/>
                      <w:vertAlign w:val="superscript"/>
                      <w:lang w:val="en-US" w:eastAsia="zh-CN"/>
                    </w:rPr>
                    <w:t>3</w:t>
                  </w:r>
                </w:p>
              </w:tc>
              <w:tc>
                <w:tcPr>
                  <w:tcW w:w="3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排放</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速率</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kg/h</w:t>
                  </w:r>
                </w:p>
              </w:tc>
              <w:tc>
                <w:tcPr>
                  <w:tcW w:w="2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温度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w:t>
                  </w:r>
                </w:p>
              </w:tc>
              <w:tc>
                <w:tcPr>
                  <w:tcW w:w="2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高度</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m</w:t>
                  </w:r>
                </w:p>
              </w:tc>
              <w:tc>
                <w:tcPr>
                  <w:tcW w:w="24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lang w:val="en-US" w:eastAsia="zh-CN"/>
                    </w:rPr>
                  </w:pPr>
                  <w:r>
                    <w:rPr>
                      <w:rFonts w:hint="default"/>
                      <w:b/>
                      <w:bCs/>
                      <w:color w:val="auto"/>
                      <w:sz w:val="18"/>
                      <w:szCs w:val="18"/>
                      <w:lang w:val="en-US" w:eastAsia="zh-CN"/>
                    </w:rPr>
                    <w:t>直径</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b/>
                      <w:bCs/>
                      <w:color w:val="auto"/>
                      <w:sz w:val="18"/>
                      <w:szCs w:val="18"/>
                    </w:rPr>
                  </w:pPr>
                  <w:r>
                    <w:rPr>
                      <w:rFonts w:hint="default"/>
                      <w:b/>
                      <w:bCs/>
                      <w:color w:val="auto"/>
                      <w:sz w:val="18"/>
                      <w:szCs w:val="18"/>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default"/>
                      <w:color w:val="auto"/>
                      <w:sz w:val="18"/>
                      <w:szCs w:val="18"/>
                      <w:lang w:val="en-US" w:eastAsia="zh-CN"/>
                    </w:rPr>
                    <w:t>P1</w:t>
                  </w:r>
                </w:p>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color w:val="auto"/>
                      <w:sz w:val="18"/>
                      <w:szCs w:val="18"/>
                      <w:lang w:val="en-US"/>
                    </w:rPr>
                  </w:pPr>
                  <w:r>
                    <w:rPr>
                      <w:rFonts w:hint="default" w:ascii="Times New Roman" w:hAnsi="Times New Roman" w:cs="Times New Roman"/>
                      <w:color w:val="auto"/>
                      <w:sz w:val="18"/>
                      <w:szCs w:val="18"/>
                      <w:highlight w:val="none"/>
                      <w:lang w:val="en-US" w:eastAsia="zh-CN"/>
                    </w:rPr>
                    <w:t>120°39′56.468"</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31°19′38.359"</w:t>
                  </w:r>
                </w:p>
              </w:tc>
              <w:tc>
                <w:tcPr>
                  <w:tcW w:w="381"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6000</w:t>
                  </w:r>
                </w:p>
              </w:tc>
              <w:tc>
                <w:tcPr>
                  <w:tcW w:w="35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6000</w:t>
                  </w:r>
                </w:p>
              </w:tc>
              <w:tc>
                <w:tcPr>
                  <w:tcW w:w="308" w:type="pct"/>
                  <w:tcBorders>
                    <w:tl2br w:val="nil"/>
                    <w:tr2bl w:val="nil"/>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ind w:right="0"/>
                    <w:jc w:val="center"/>
                    <w:textAlignment w:val="center"/>
                    <w:rPr>
                      <w:rFonts w:hint="default"/>
                      <w:color w:val="auto"/>
                      <w:sz w:val="18"/>
                      <w:szCs w:val="18"/>
                    </w:rPr>
                  </w:pPr>
                  <w:r>
                    <w:rPr>
                      <w:rFonts w:hint="default"/>
                      <w:color w:val="auto"/>
                      <w:sz w:val="18"/>
                      <w:szCs w:val="18"/>
                      <w:lang w:eastAsia="zh-CN"/>
                    </w:rPr>
                    <w:t>非甲烷总烃</w:t>
                  </w:r>
                </w:p>
              </w:tc>
              <w:tc>
                <w:tcPr>
                  <w:tcW w:w="321"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35.6</w:t>
                  </w:r>
                </w:p>
              </w:tc>
              <w:tc>
                <w:tcPr>
                  <w:tcW w:w="33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0.214</w:t>
                  </w:r>
                </w:p>
              </w:tc>
              <w:tc>
                <w:tcPr>
                  <w:tcW w:w="27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1.286</w:t>
                  </w:r>
                </w:p>
              </w:tc>
              <w:tc>
                <w:tcPr>
                  <w:tcW w:w="31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3.67</w:t>
                  </w:r>
                </w:p>
              </w:tc>
              <w:tc>
                <w:tcPr>
                  <w:tcW w:w="32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0.022</w:t>
                  </w:r>
                </w:p>
              </w:tc>
              <w:tc>
                <w:tcPr>
                  <w:tcW w:w="245"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0.129</w:t>
                  </w:r>
                </w:p>
              </w:tc>
              <w:tc>
                <w:tcPr>
                  <w:tcW w:w="458"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eastAsia"/>
                      <w:color w:val="auto"/>
                      <w:sz w:val="18"/>
                      <w:szCs w:val="18"/>
                      <w:lang w:val="en-US" w:eastAsia="zh-CN"/>
                    </w:rPr>
                    <w:t>60</w:t>
                  </w:r>
                </w:p>
              </w:tc>
              <w:tc>
                <w:tcPr>
                  <w:tcW w:w="350"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eastAsia"/>
                      <w:color w:val="auto"/>
                      <w:sz w:val="18"/>
                      <w:szCs w:val="18"/>
                      <w:lang w:val="en-US" w:eastAsia="zh-CN"/>
                    </w:rPr>
                    <w:t>/</w:t>
                  </w:r>
                </w:p>
              </w:tc>
              <w:tc>
                <w:tcPr>
                  <w:tcW w:w="243"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eastAsia="宋体"/>
                      <w:color w:val="auto"/>
                      <w:sz w:val="18"/>
                      <w:szCs w:val="18"/>
                      <w:lang w:val="en-US" w:eastAsia="zh-CN"/>
                    </w:rPr>
                  </w:pPr>
                  <w:r>
                    <w:rPr>
                      <w:rFonts w:hint="eastAsia"/>
                      <w:color w:val="auto"/>
                      <w:sz w:val="18"/>
                      <w:szCs w:val="18"/>
                      <w:lang w:val="en-US" w:eastAsia="zh-CN"/>
                    </w:rPr>
                    <w:t>20</w:t>
                  </w:r>
                </w:p>
              </w:tc>
              <w:tc>
                <w:tcPr>
                  <w:tcW w:w="244"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lang w:val="en-US" w:eastAsia="zh-CN"/>
                    </w:rPr>
                  </w:pPr>
                  <w:r>
                    <w:rPr>
                      <w:rFonts w:hint="default"/>
                      <w:color w:val="auto"/>
                      <w:sz w:val="18"/>
                      <w:szCs w:val="18"/>
                      <w:lang w:val="en-US" w:eastAsia="zh-CN"/>
                    </w:rPr>
                    <w:t>15</w:t>
                  </w:r>
                </w:p>
              </w:tc>
              <w:tc>
                <w:tcPr>
                  <w:tcW w:w="249" w:type="pc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color w:val="auto"/>
                      <w:sz w:val="18"/>
                      <w:szCs w:val="18"/>
                    </w:rPr>
                  </w:pPr>
                  <w:r>
                    <w:rPr>
                      <w:rFonts w:hint="default"/>
                      <w:color w:val="auto"/>
                      <w:sz w:val="18"/>
                      <w:szCs w:val="18"/>
                      <w:lang w:val="en-US" w:eastAsia="zh-CN"/>
                    </w:rPr>
                    <w:t>0.4</w:t>
                  </w:r>
                </w:p>
              </w:tc>
            </w:tr>
          </w:tbl>
          <w:p>
            <w:pPr>
              <w:pStyle w:val="29"/>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color w:val="auto"/>
                <w:lang w:val="en-US" w:eastAsia="zh-CN"/>
              </w:rPr>
            </w:pPr>
            <w:r>
              <w:rPr>
                <w:rFonts w:hint="default" w:ascii="Times New Roman" w:hAnsi="Times New Roman" w:eastAsia="宋体" w:cs="Times New Roman"/>
                <w:color w:val="auto"/>
                <w:sz w:val="21"/>
                <w:szCs w:val="21"/>
                <w:highlight w:val="none"/>
                <w:lang w:val="en-US" w:eastAsia="zh-CN"/>
              </w:rPr>
              <w:t>由上表知，本项目无组织废气可达标排放</w:t>
            </w:r>
            <w:r>
              <w:rPr>
                <w:rFonts w:hint="default"/>
                <w:color w:val="auto"/>
                <w:lang w:val="en-US" w:eastAsia="zh-CN"/>
              </w:rPr>
              <w:t>。</w:t>
            </w:r>
          </w:p>
          <w:p>
            <w:pPr>
              <w:pStyle w:val="29"/>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废气处理装置可行性分析</w:t>
            </w:r>
          </w:p>
          <w:p>
            <w:pPr>
              <w:pStyle w:val="29"/>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活性炭吸附</w:t>
            </w:r>
            <w:r>
              <w:rPr>
                <w:rFonts w:hint="default" w:ascii="Times New Roman" w:hAnsi="Times New Roman" w:eastAsia="宋体" w:cs="Times New Roman"/>
                <w:b/>
                <w:bCs/>
                <w:color w:val="auto"/>
                <w:sz w:val="21"/>
                <w:szCs w:val="21"/>
                <w:highlight w:val="none"/>
                <w:lang w:eastAsia="zh-CN"/>
              </w:rPr>
              <w:t>装置吸附原理：</w:t>
            </w:r>
            <w:r>
              <w:rPr>
                <w:rFonts w:hint="default" w:ascii="Times New Roman" w:hAnsi="Times New Roman" w:eastAsia="宋体" w:cs="Times New Roman"/>
                <w:color w:val="auto"/>
                <w:sz w:val="21"/>
                <w:szCs w:val="21"/>
                <w:highlight w:val="none"/>
              </w:rPr>
              <w:t>活性炭吸附是一种常用的吸附方法，吸附法主要利用高孔隙率、高比表面积的吸附剂，藉由物理性吸附(可逆反应)或化学性键结(不可逆反应) 作用，将有机气体分子自废气中分离，以达成净化废气的目的。由于一般多采用物理性吸附，随操作时间之增加，吸附剂将逐渐趋于饱和现象，此时则须进行脱附再生或吸附剂更换工作。在有机废气处理过程中，活性炭常被用来吸附烷烃、烯烃、芳香烃、酮、醛、氯代烃、酯以及挥发性有机化合物。活性炭是一种具有非极性表面、疏水性、亲有机物的吸附剂，活性炭常常被用来吸附回收空气中的有机溶剂和恶臭物质，它可以根据需要制成不同性状和粒度，如粉末活性炭、颗粒活性炭及柱状活性炭。活性炭吸附的实质是利用活性炭吸附的特性把低浓度大风量废气中的有机溶剂吸附到活性炭中并浓缩，经活性炭吸附净化后的气体直接排空，其实质是一个吸附浓缩的过程，是一个物理过程。</w:t>
            </w:r>
            <w:r>
              <w:rPr>
                <w:rFonts w:hint="default" w:ascii="Times New Roman" w:hAnsi="Times New Roman" w:eastAsia="宋体" w:cs="Times New Roman"/>
                <w:color w:val="auto"/>
                <w:sz w:val="21"/>
                <w:szCs w:val="21"/>
                <w:highlight w:val="none"/>
                <w:lang w:eastAsia="zh-CN"/>
              </w:rPr>
              <w:t>废气处理装置具体参数见表</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p>
            <w:pPr>
              <w:pStyle w:val="23"/>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w:t>
            </w:r>
            <w:r>
              <w:rPr>
                <w:rFonts w:hint="eastAsia" w:asci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w:t>
            </w:r>
            <w:r>
              <w:rPr>
                <w:rFonts w:hint="eastAsia" w:ascii="Times New Roman"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eastAsia="zh-CN"/>
              </w:rPr>
              <w:t>废气处理装置</w:t>
            </w:r>
            <w:r>
              <w:rPr>
                <w:rFonts w:hint="default" w:ascii="Times New Roman" w:hAnsi="Times New Roman" w:eastAsia="宋体" w:cs="Times New Roman"/>
                <w:b/>
                <w:color w:val="auto"/>
                <w:sz w:val="21"/>
                <w:szCs w:val="21"/>
                <w:highlight w:val="none"/>
              </w:rPr>
              <w:t>参数表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3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
                      <w:bCs w:val="0"/>
                      <w:color w:val="auto"/>
                      <w:sz w:val="18"/>
                      <w:szCs w:val="18"/>
                      <w:highlight w:val="none"/>
                    </w:rPr>
                    <w:t>活性炭吸附设备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
                      <w:bCs w:val="0"/>
                      <w:color w:val="auto"/>
                      <w:sz w:val="18"/>
                      <w:szCs w:val="18"/>
                      <w:highlight w:val="none"/>
                      <w:lang w:val="en-US" w:eastAsia="zh-CN"/>
                    </w:rPr>
                  </w:pPr>
                  <w:r>
                    <w:rPr>
                      <w:rFonts w:hint="eastAsia" w:ascii="Times New Roman" w:hAnsi="Times New Roman" w:eastAsia="宋体" w:cs="Times New Roman"/>
                      <w:b/>
                      <w:bCs w:val="0"/>
                      <w:color w:val="auto"/>
                      <w:sz w:val="18"/>
                      <w:szCs w:val="18"/>
                      <w:highlight w:val="none"/>
                      <w:lang w:val="en-US" w:eastAsia="zh-CN"/>
                    </w:rPr>
                    <w:t>名称</w:t>
                  </w:r>
                </w:p>
              </w:tc>
              <w:tc>
                <w:tcPr>
                  <w:tcW w:w="2408" w:type="pct"/>
                  <w:tcBorders>
                    <w:tl2br w:val="nil"/>
                    <w:tr2bl w:val="nil"/>
                  </w:tcBorders>
                  <w:noWrap w:val="0"/>
                  <w:vAlign w:val="center"/>
                </w:tcPr>
                <w:p>
                  <w:pPr>
                    <w:snapToGrid w:val="0"/>
                    <w:jc w:val="center"/>
                    <w:rPr>
                      <w:rFonts w:hint="default" w:ascii="Times New Roman" w:hAnsi="Times New Roman" w:eastAsia="宋体" w:cs="Times New Roman"/>
                      <w:b/>
                      <w:bCs w:val="0"/>
                      <w:color w:val="auto"/>
                      <w:kern w:val="2"/>
                      <w:sz w:val="18"/>
                      <w:szCs w:val="18"/>
                      <w:highlight w:val="none"/>
                      <w:lang w:val="en-US" w:eastAsia="zh-CN" w:bidi="ar-SA"/>
                    </w:rPr>
                  </w:pPr>
                  <w:r>
                    <w:rPr>
                      <w:rFonts w:hint="eastAsia" w:ascii="Times New Roman" w:hAnsi="Times New Roman" w:eastAsia="宋体" w:cs="Times New Roman"/>
                      <w:b/>
                      <w:bCs w:val="0"/>
                      <w:color w:val="auto"/>
                      <w:kern w:val="2"/>
                      <w:sz w:val="18"/>
                      <w:szCs w:val="18"/>
                      <w:highlight w:val="none"/>
                      <w:lang w:val="en-US" w:eastAsia="zh-CN" w:bidi="ar-SA"/>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套数</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lang w:val="en-US"/>
                    </w:rPr>
                  </w:pPr>
                  <w:r>
                    <w:rPr>
                      <w:rFonts w:hint="default" w:ascii="Times New Roman" w:hAnsi="Times New Roman" w:eastAsia="宋体" w:cs="Times New Roman"/>
                      <w:bCs/>
                      <w:color w:val="auto"/>
                      <w:sz w:val="18"/>
                      <w:szCs w:val="18"/>
                      <w:highlight w:val="none"/>
                      <w:lang w:val="en-US" w:eastAsia="zh-CN"/>
                    </w:rPr>
                    <w:t>炭层安装方式</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抽屉式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lang w:val="en-US" w:eastAsia="zh-CN"/>
                    </w:rPr>
                    <w:t>过滤层数量</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3层（单套）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比表面积</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550-750m</w:t>
                  </w:r>
                  <w:r>
                    <w:rPr>
                      <w:rFonts w:hint="eastAsia" w:cs="Times New Roman"/>
                      <w:bCs/>
                      <w:sz w:val="18"/>
                      <w:szCs w:val="18"/>
                      <w:vertAlign w:val="superscript"/>
                      <w:lang w:val="en-US" w:eastAsia="zh-CN"/>
                    </w:rPr>
                    <w:t>2</w:t>
                  </w:r>
                  <w:r>
                    <w:rPr>
                      <w:rFonts w:hint="eastAsia" w:cs="Times New Roman"/>
                      <w:bCs/>
                      <w:sz w:val="18"/>
                      <w:szCs w:val="18"/>
                      <w:lang w:val="en-US" w:eastAsia="zh-CN"/>
                    </w:rPr>
                    <w:t>/g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风量</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6000m</w:t>
                  </w:r>
                  <w:r>
                    <w:rPr>
                      <w:rFonts w:hint="eastAsia" w:cs="Times New Roman"/>
                      <w:bCs/>
                      <w:sz w:val="18"/>
                      <w:szCs w:val="18"/>
                      <w:vertAlign w:val="superscript"/>
                      <w:lang w:val="en-US" w:eastAsia="zh-CN"/>
                    </w:rPr>
                    <w:t>3</w:t>
                  </w:r>
                  <w:r>
                    <w:rPr>
                      <w:rFonts w:hint="eastAsia" w:cs="Times New Roman"/>
                      <w:bCs/>
                      <w:sz w:val="18"/>
                      <w:szCs w:val="18"/>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活性炭类型</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煤质柱状活性炭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活性炭密度</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0.5g/cm</w:t>
                  </w:r>
                  <w:r>
                    <w:rPr>
                      <w:rFonts w:hint="eastAsia" w:cs="Times New Roman"/>
                      <w:bCs/>
                      <w:sz w:val="18"/>
                      <w:szCs w:val="18"/>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填充量</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0.5 吨（单套）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停留时间</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1.1 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气体流速</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1.2 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碘值</w:t>
                  </w:r>
                </w:p>
              </w:tc>
              <w:tc>
                <w:tcPr>
                  <w:tcW w:w="3719" w:type="dxa"/>
                  <w:tcBorders>
                    <w:tl2br w:val="nil"/>
                    <w:tr2bl w:val="nil"/>
                  </w:tcBorders>
                  <w:noWrap w:val="0"/>
                  <w:vAlign w:val="center"/>
                </w:tcPr>
                <w:p>
                  <w:pPr>
                    <w:snapToGrid w:val="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sz w:val="18"/>
                      <w:szCs w:val="18"/>
                      <w:lang w:val="en-US" w:eastAsia="zh-CN"/>
                    </w:rPr>
                    <w:t>8</w:t>
                  </w:r>
                  <w:r>
                    <w:rPr>
                      <w:rFonts w:hint="default" w:ascii="Times New Roman" w:hAnsi="Times New Roman" w:cs="Times New Roman"/>
                      <w:bCs/>
                      <w:sz w:val="18"/>
                      <w:szCs w:val="18"/>
                    </w:rPr>
                    <w:t>00mg/kg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
                      <w:bCs w:val="0"/>
                      <w:color w:val="auto"/>
                      <w:sz w:val="18"/>
                      <w:szCs w:val="18"/>
                      <w:highlight w:val="none"/>
                      <w:lang w:val="en-US" w:eastAsia="zh-CN"/>
                    </w:rPr>
                    <w:t>离心式风机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 xml:space="preserve">材质 </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碳钢+防腐涂料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noWrap w:val="0"/>
                  <w:vAlign w:val="center"/>
                </w:tcPr>
                <w:p>
                  <w:pPr>
                    <w:snapToGrid w:val="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功率</w:t>
                  </w:r>
                </w:p>
              </w:tc>
              <w:tc>
                <w:tcPr>
                  <w:tcW w:w="3719" w:type="dxa"/>
                  <w:tcBorders>
                    <w:tl2br w:val="nil"/>
                    <w:tr2bl w:val="nil"/>
                  </w:tcBorders>
                  <w:noWrap w:val="0"/>
                  <w:vAlign w:val="center"/>
                </w:tcPr>
                <w:p>
                  <w:pPr>
                    <w:snapToGrid w:val="0"/>
                    <w:jc w:val="center"/>
                    <w:rPr>
                      <w:rFonts w:hint="default" w:cs="Times New Roman"/>
                      <w:bCs/>
                      <w:sz w:val="18"/>
                      <w:szCs w:val="18"/>
                      <w:lang w:val="en-US" w:eastAsia="zh-CN"/>
                    </w:rPr>
                  </w:pPr>
                  <w:r>
                    <w:rPr>
                      <w:rFonts w:hint="eastAsia" w:cs="Times New Roman"/>
                      <w:bCs/>
                      <w:sz w:val="18"/>
                      <w:szCs w:val="18"/>
                      <w:lang w:val="en-US" w:eastAsia="zh-CN"/>
                    </w:rPr>
                    <w:t>7.5KW</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kern w:val="0"/>
                <w:sz w:val="21"/>
                <w:szCs w:val="21"/>
                <w:highlight w:val="none"/>
                <w:lang w:val="en-US" w:eastAsia="zh-CN" w:bidi="ar-SA"/>
              </w:rPr>
              <w:t>根据《大气中VOCs的污染现状及治理技术研究进展》（环境科学与管理，2012年第37卷第6期）中的数据，两级活性炭对有机废气的处理效率可达90%。</w:t>
            </w:r>
            <w:r>
              <w:rPr>
                <w:rFonts w:hint="default" w:ascii="Times New Roman" w:hAnsi="Times New Roman" w:eastAsia="宋体" w:cs="Times New Roman"/>
                <w:color w:val="auto"/>
                <w:sz w:val="21"/>
                <w:szCs w:val="21"/>
                <w:highlight w:val="none"/>
              </w:rPr>
              <w:t>参照《吸附法工业有机废气治理工程技术规范》（HJ2026-2013）的要求， 本项目废气治理措施稳定运营技术可行性分析</w:t>
            </w:r>
            <w:r>
              <w:rPr>
                <w:rFonts w:hint="default" w:ascii="Times New Roman" w:hAnsi="Times New Roman" w:eastAsia="宋体" w:cs="Times New Roman"/>
                <w:color w:val="auto"/>
                <w:sz w:val="21"/>
                <w:szCs w:val="21"/>
                <w:highlight w:val="none"/>
                <w:lang w:eastAsia="zh-CN"/>
              </w:rPr>
              <w:t>见表</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p>
          <w:p>
            <w:pPr>
              <w:pStyle w:val="46"/>
              <w:keepNext w:val="0"/>
              <w:keepLines w:val="0"/>
              <w:pageBreakBefore w:val="0"/>
              <w:widowControl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本项目废气工程稳定达标排放技术可行性分析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4"/>
              <w:gridCol w:w="3571"/>
              <w:gridCol w:w="2814"/>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18"/>
                      <w:szCs w:val="18"/>
                      <w:highlight w:val="none"/>
                      <w:lang w:val="zh-CN" w:eastAsia="zh-CN" w:bidi="zh-CN"/>
                    </w:rPr>
                  </w:pPr>
                  <w:r>
                    <w:rPr>
                      <w:rFonts w:hint="default" w:ascii="Times New Roman" w:hAnsi="Times New Roman" w:eastAsia="宋体" w:cs="Times New Roman"/>
                      <w:b/>
                      <w:bCs/>
                      <w:color w:val="auto"/>
                      <w:sz w:val="18"/>
                      <w:szCs w:val="18"/>
                      <w:highlight w:val="none"/>
                    </w:rPr>
                    <w:t>序号</w:t>
                  </w:r>
                </w:p>
              </w:tc>
              <w:tc>
                <w:tcPr>
                  <w:tcW w:w="231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18"/>
                      <w:szCs w:val="18"/>
                      <w:highlight w:val="none"/>
                      <w:lang w:val="zh-CN" w:eastAsia="zh-CN" w:bidi="zh-CN"/>
                    </w:rPr>
                  </w:pPr>
                  <w:r>
                    <w:rPr>
                      <w:rFonts w:hint="default" w:ascii="Times New Roman" w:hAnsi="Times New Roman" w:eastAsia="宋体" w:cs="Times New Roman"/>
                      <w:b/>
                      <w:bCs/>
                      <w:color w:val="auto"/>
                      <w:sz w:val="18"/>
                      <w:szCs w:val="18"/>
                      <w:highlight w:val="none"/>
                    </w:rPr>
                    <w:t>技术规范要求</w:t>
                  </w:r>
                </w:p>
              </w:tc>
              <w:tc>
                <w:tcPr>
                  <w:tcW w:w="182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18"/>
                      <w:szCs w:val="18"/>
                      <w:highlight w:val="none"/>
                      <w:lang w:val="zh-CN" w:eastAsia="zh-CN" w:bidi="zh-CN"/>
                    </w:rPr>
                  </w:pPr>
                  <w:r>
                    <w:rPr>
                      <w:rFonts w:hint="default" w:ascii="Times New Roman" w:hAnsi="Times New Roman" w:eastAsia="宋体" w:cs="Times New Roman"/>
                      <w:b/>
                      <w:bCs/>
                      <w:color w:val="auto"/>
                      <w:sz w:val="18"/>
                      <w:szCs w:val="18"/>
                      <w:highlight w:val="none"/>
                    </w:rPr>
                    <w:t>项目情况</w:t>
                  </w:r>
                </w:p>
              </w:tc>
              <w:tc>
                <w:tcPr>
                  <w:tcW w:w="486"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18"/>
                      <w:szCs w:val="18"/>
                      <w:highlight w:val="none"/>
                      <w:lang w:val="zh-CN" w:eastAsia="zh-CN" w:bidi="zh-CN"/>
                    </w:rPr>
                  </w:pPr>
                  <w:r>
                    <w:rPr>
                      <w:rFonts w:hint="default" w:ascii="Times New Roman" w:hAnsi="Times New Roman" w:eastAsia="宋体" w:cs="Times New Roman"/>
                      <w:b/>
                      <w:bCs/>
                      <w:color w:val="auto"/>
                      <w:sz w:val="18"/>
                      <w:szCs w:val="18"/>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zh-CN"/>
                    </w:rPr>
                  </w:pPr>
                  <w:r>
                    <w:rPr>
                      <w:rFonts w:hint="default" w:ascii="Times New Roman" w:hAnsi="Times New Roman" w:eastAsia="宋体" w:cs="Times New Roman"/>
                      <w:color w:val="auto"/>
                      <w:kern w:val="2"/>
                      <w:sz w:val="18"/>
                      <w:szCs w:val="18"/>
                      <w:highlight w:val="none"/>
                      <w:lang w:val="en-US" w:eastAsia="zh-CN" w:bidi="zh-CN"/>
                    </w:rPr>
                    <w:t>1</w:t>
                  </w:r>
                </w:p>
              </w:tc>
              <w:tc>
                <w:tcPr>
                  <w:tcW w:w="231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过滤装置两端应装设压差计，当过滤器的阻力超过规定值是应及时清理或更换过滤材料。</w:t>
                  </w:r>
                </w:p>
              </w:tc>
              <w:tc>
                <w:tcPr>
                  <w:tcW w:w="182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过滤装置两端安装压差计，检测阻力超过600Pa时及时更换二级活性炭。</w:t>
                  </w:r>
                </w:p>
              </w:tc>
              <w:tc>
                <w:tcPr>
                  <w:tcW w:w="486"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w w:val="99"/>
                      <w:sz w:val="18"/>
                      <w:szCs w:val="18"/>
                      <w:highlight w:val="none"/>
                    </w:rPr>
                    <w:t>2</w:t>
                  </w:r>
                </w:p>
              </w:tc>
              <w:tc>
                <w:tcPr>
                  <w:tcW w:w="231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过滤材料、吸附剂和催化剂的处理应</w:t>
                  </w:r>
                </w:p>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zh-CN"/>
                    </w:rPr>
                  </w:pPr>
                  <w:r>
                    <w:rPr>
                      <w:rFonts w:hint="default" w:ascii="Times New Roman" w:hAnsi="Times New Roman" w:eastAsia="宋体" w:cs="Times New Roman"/>
                      <w:color w:val="auto"/>
                      <w:sz w:val="18"/>
                      <w:szCs w:val="18"/>
                      <w:highlight w:val="none"/>
                    </w:rPr>
                    <w:t>符合固体废弃物处理与处置相关管理规定。</w:t>
                  </w:r>
                </w:p>
              </w:tc>
              <w:tc>
                <w:tcPr>
                  <w:tcW w:w="182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废活性炭委托有资质危废单位处理。</w:t>
                  </w:r>
                </w:p>
              </w:tc>
              <w:tc>
                <w:tcPr>
                  <w:tcW w:w="486"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w w:val="99"/>
                      <w:sz w:val="18"/>
                      <w:szCs w:val="18"/>
                      <w:highlight w:val="none"/>
                    </w:rPr>
                    <w:t>3</w:t>
                  </w:r>
                </w:p>
              </w:tc>
              <w:tc>
                <w:tcPr>
                  <w:tcW w:w="231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治理设备应设置永久性采样口，采样口的设置应符合HJ/T397-2007的要求，采样频次和检测项目应根据工艺控制要求确定。</w:t>
                  </w:r>
                </w:p>
              </w:tc>
              <w:tc>
                <w:tcPr>
                  <w:tcW w:w="182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二级活性炭吸附塔设置有窗口和人孔，方便检修、填充材料的取出和装入。</w:t>
                  </w:r>
                </w:p>
              </w:tc>
              <w:tc>
                <w:tcPr>
                  <w:tcW w:w="486"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w w:val="99"/>
                      <w:sz w:val="18"/>
                      <w:szCs w:val="18"/>
                      <w:highlight w:val="none"/>
                    </w:rPr>
                    <w:t>4</w:t>
                  </w:r>
                </w:p>
              </w:tc>
              <w:tc>
                <w:tcPr>
                  <w:tcW w:w="231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应定期检测过滤装置两端的压差。</w:t>
                  </w:r>
                </w:p>
              </w:tc>
              <w:tc>
                <w:tcPr>
                  <w:tcW w:w="182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每天检查过滤层前后压差计，压差超过600Pa时及时更换活性炭，并做好点检记录。</w:t>
                  </w:r>
                </w:p>
              </w:tc>
              <w:tc>
                <w:tcPr>
                  <w:tcW w:w="486"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w w:val="99"/>
                      <w:sz w:val="18"/>
                      <w:szCs w:val="18"/>
                      <w:highlight w:val="none"/>
                    </w:rPr>
                    <w:t>5</w:t>
                  </w:r>
                </w:p>
              </w:tc>
              <w:tc>
                <w:tcPr>
                  <w:tcW w:w="231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吸附装置的净化效率不低于90%。</w:t>
                  </w:r>
                </w:p>
              </w:tc>
              <w:tc>
                <w:tcPr>
                  <w:tcW w:w="1822"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根据工程方案，在严格执行监管措施下，设施稳定运行的情况下，对有机废气的去除率可达90%。</w:t>
                  </w:r>
                </w:p>
              </w:tc>
              <w:tc>
                <w:tcPr>
                  <w:tcW w:w="486" w:type="pct"/>
                  <w:tcBorders>
                    <w:tl2br w:val="nil"/>
                    <w:tr2bl w:val="nil"/>
                  </w:tcBorders>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现有项目工程设计时有预留收集点位，本项目增加废气收集点位不超过预留点位个数，且都是密闭收集，所以可以满足90%的收集率。</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卫生防护距离：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为确定全厂无组织废气排放对大气环境的影响范围，本评价以非甲烷总烃、</w:t>
            </w:r>
            <w:r>
              <w:rPr>
                <w:rFonts w:hint="eastAsia" w:cs="Times New Roman"/>
                <w:color w:val="auto"/>
                <w:kern w:val="0"/>
                <w:sz w:val="21"/>
                <w:szCs w:val="21"/>
                <w:highlight w:val="none"/>
                <w:lang w:val="en-US" w:eastAsia="zh-CN" w:bidi="ar-SA"/>
              </w:rPr>
              <w:t>颗粒物</w:t>
            </w:r>
            <w:r>
              <w:rPr>
                <w:rFonts w:hint="default" w:ascii="Times New Roman" w:hAnsi="Times New Roman" w:eastAsia="宋体" w:cs="Times New Roman"/>
                <w:color w:val="auto"/>
                <w:kern w:val="0"/>
                <w:sz w:val="21"/>
                <w:szCs w:val="21"/>
                <w:highlight w:val="none"/>
                <w:lang w:val="en-US" w:eastAsia="zh-CN" w:bidi="ar-SA"/>
              </w:rPr>
              <w:t>作为评价因子进行卫生防护距离预测，卫生防护距离计算按照《大气有害物质无组织排放卫生防护距离推导技术导则》</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 GB/T 39499-2020</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，计算公式如下：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1790700" cy="444500"/>
                  <wp:effectExtent l="0" t="0" r="0" b="1333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16"/>
                          <a:stretch>
                            <a:fillRect/>
                          </a:stretch>
                        </pic:blipFill>
                        <pic:spPr>
                          <a:xfrm>
                            <a:off x="0" y="0"/>
                            <a:ext cx="1790700" cy="4445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式中：Qc——有害气体无组织排放量可以达到的控制水平（kg/h）；</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Cm——标准浓度限值（mg/m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L——所需卫生防护距离（m）；</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R——有害气体无组织排放源所在生产单元的等效半径（m），根据该生产单元占地面积（m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）计算r=(S/π)0.5；</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A、B、C、D —卫生防护距离计算系数，根据工业企业所在地区近五年平均风速及工业企业大气污染源构成类别从表中查取。</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根据《大气有害物质无组织排放卫生防护距离推导技术导则》</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 GB/T 39499-2020</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的规定，计算全厂车间的卫生防护距离。计算结果见</w:t>
            </w:r>
            <w:r>
              <w:rPr>
                <w:rFonts w:hint="eastAsia" w:ascii="Times New Roman" w:hAnsi="Times New Roman" w:eastAsia="宋体" w:cs="Times New Roman"/>
                <w:color w:val="auto"/>
                <w:kern w:val="0"/>
                <w:sz w:val="21"/>
                <w:szCs w:val="21"/>
                <w:highlight w:val="none"/>
                <w:lang w:val="en-US" w:eastAsia="zh-CN" w:bidi="ar-SA"/>
              </w:rPr>
              <w:t>下表</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highlight w:val="yellow"/>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无组织废气排放卫生防护距离</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41"/>
              <w:gridCol w:w="807"/>
              <w:gridCol w:w="781"/>
              <w:gridCol w:w="1236"/>
              <w:gridCol w:w="545"/>
              <w:gridCol w:w="545"/>
              <w:gridCol w:w="545"/>
              <w:gridCol w:w="551"/>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restar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面源名称</w:t>
                  </w:r>
                </w:p>
              </w:tc>
              <w:tc>
                <w:tcPr>
                  <w:tcW w:w="545" w:type="pct"/>
                  <w:vMerge w:val="restar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污染物</w:t>
                  </w:r>
                </w:p>
              </w:tc>
              <w:tc>
                <w:tcPr>
                  <w:tcW w:w="523" w:type="pct"/>
                  <w:vMerge w:val="restart"/>
                  <w:tcBorders>
                    <w:tl2br w:val="nil"/>
                    <w:tr2bl w:val="nil"/>
                  </w:tcBorders>
                  <w:noWrap w:val="0"/>
                  <w:tcMar>
                    <w:left w:w="11" w:type="dxa"/>
                    <w:right w:w="11" w:type="dxa"/>
                  </w:tcMar>
                  <w:vAlign w:val="center"/>
                </w:tcPr>
                <w:p>
                  <w:pPr>
                    <w:keepNext w:val="0"/>
                    <w:keepLines w:val="0"/>
                    <w:pageBreakBefore w:val="0"/>
                    <w:kinsoku/>
                    <w:wordWrap/>
                    <w:overflowPunct/>
                    <w:topLinePunct w:val="0"/>
                    <w:autoSpaceDE/>
                    <w:autoSpaceDN/>
                    <w:bidi w:val="0"/>
                    <w:adjustRightInd/>
                    <w:snapToGrid/>
                    <w:jc w:val="center"/>
                    <w:rPr>
                      <w:rFonts w:hint="default"/>
                      <w:b/>
                      <w:bCs/>
                      <w:sz w:val="18"/>
                      <w:szCs w:val="18"/>
                    </w:rPr>
                  </w:pPr>
                  <w:r>
                    <w:rPr>
                      <w:rFonts w:hint="default"/>
                      <w:b/>
                      <w:bCs/>
                      <w:sz w:val="18"/>
                      <w:szCs w:val="18"/>
                    </w:rPr>
                    <w:t>排放</w:t>
                  </w:r>
                </w:p>
                <w:p>
                  <w:pPr>
                    <w:keepNext w:val="0"/>
                    <w:keepLines w:val="0"/>
                    <w:pageBreakBefore w:val="0"/>
                    <w:kinsoku/>
                    <w:wordWrap/>
                    <w:overflowPunct/>
                    <w:topLinePunct w:val="0"/>
                    <w:autoSpaceDE/>
                    <w:autoSpaceDN/>
                    <w:bidi w:val="0"/>
                    <w:adjustRightInd/>
                    <w:snapToGrid/>
                    <w:jc w:val="center"/>
                    <w:rPr>
                      <w:rFonts w:hint="default"/>
                      <w:b/>
                      <w:bCs/>
                      <w:sz w:val="18"/>
                      <w:szCs w:val="18"/>
                    </w:rPr>
                  </w:pPr>
                  <w:r>
                    <w:rPr>
                      <w:rFonts w:hint="default"/>
                      <w:b/>
                      <w:bCs/>
                      <w:sz w:val="18"/>
                      <w:szCs w:val="18"/>
                    </w:rPr>
                    <w:t>速率</w:t>
                  </w:r>
                </w:p>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w:t>
                  </w:r>
                  <w:r>
                    <w:rPr>
                      <w:rFonts w:hint="default" w:ascii="Times New Roman" w:hAnsi="Times New Roman" w:eastAsia="宋体" w:cs="Times New Roman"/>
                      <w:b/>
                      <w:bCs/>
                      <w:snapToGrid w:val="0"/>
                      <w:color w:val="auto"/>
                      <w:sz w:val="18"/>
                      <w:szCs w:val="18"/>
                      <w:highlight w:val="none"/>
                      <w:lang w:val="en-US" w:eastAsia="zh-CN"/>
                    </w:rPr>
                    <w:t>kg/h</w:t>
                  </w:r>
                  <w:r>
                    <w:rPr>
                      <w:rFonts w:hint="default" w:ascii="Times New Roman" w:hAnsi="Times New Roman" w:eastAsia="宋体" w:cs="Times New Roman"/>
                      <w:b/>
                      <w:bCs/>
                      <w:snapToGrid w:val="0"/>
                      <w:color w:val="auto"/>
                      <w:sz w:val="18"/>
                      <w:szCs w:val="18"/>
                      <w:highlight w:val="none"/>
                    </w:rPr>
                    <w:t>）</w:t>
                  </w:r>
                </w:p>
              </w:tc>
              <w:tc>
                <w:tcPr>
                  <w:tcW w:w="506" w:type="pct"/>
                  <w:vMerge w:val="restar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面源面积</w:t>
                  </w:r>
                </w:p>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（m</w:t>
                  </w:r>
                  <w:r>
                    <w:rPr>
                      <w:rFonts w:hint="default" w:ascii="Times New Roman" w:hAnsi="Times New Roman" w:eastAsia="宋体" w:cs="Times New Roman"/>
                      <w:b/>
                      <w:bCs/>
                      <w:snapToGrid w:val="0"/>
                      <w:color w:val="auto"/>
                      <w:sz w:val="18"/>
                      <w:szCs w:val="18"/>
                      <w:highlight w:val="none"/>
                      <w:vertAlign w:val="superscript"/>
                    </w:rPr>
                    <w:t>2</w:t>
                  </w:r>
                  <w:r>
                    <w:rPr>
                      <w:rFonts w:hint="default" w:ascii="Times New Roman" w:hAnsi="Times New Roman" w:eastAsia="宋体" w:cs="Times New Roman"/>
                      <w:b/>
                      <w:bCs/>
                      <w:snapToGrid w:val="0"/>
                      <w:color w:val="auto"/>
                      <w:sz w:val="18"/>
                      <w:szCs w:val="18"/>
                      <w:highlight w:val="none"/>
                    </w:rPr>
                    <w:t>）</w:t>
                  </w:r>
                </w:p>
              </w:tc>
              <w:tc>
                <w:tcPr>
                  <w:tcW w:w="2218" w:type="pct"/>
                  <w:gridSpan w:val="5"/>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计算参数</w:t>
                  </w:r>
                </w:p>
              </w:tc>
              <w:tc>
                <w:tcPr>
                  <w:tcW w:w="827" w:type="pct"/>
                  <w:vMerge w:val="restar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9" w:type="pct"/>
                  <w:vMerge w:val="continue"/>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p>
              </w:tc>
              <w:tc>
                <w:tcPr>
                  <w:tcW w:w="545" w:type="pct"/>
                  <w:vMerge w:val="continue"/>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p>
              </w:tc>
              <w:tc>
                <w:tcPr>
                  <w:tcW w:w="523" w:type="pct"/>
                  <w:vMerge w:val="continue"/>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p>
              </w:tc>
              <w:tc>
                <w:tcPr>
                  <w:tcW w:w="506" w:type="pct"/>
                  <w:vMerge w:val="continue"/>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p>
              </w:tc>
              <w:tc>
                <w:tcPr>
                  <w:tcW w:w="801"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color w:val="auto"/>
                      <w:sz w:val="18"/>
                      <w:szCs w:val="18"/>
                      <w:highlight w:val="none"/>
                    </w:rPr>
                    <w:t>Cm*（mg/m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rPr>
                    <w:t>）</w:t>
                  </w:r>
                </w:p>
              </w:tc>
              <w:tc>
                <w:tcPr>
                  <w:tcW w:w="353"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A</w:t>
                  </w:r>
                </w:p>
              </w:tc>
              <w:tc>
                <w:tcPr>
                  <w:tcW w:w="353"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B</w:t>
                  </w:r>
                </w:p>
              </w:tc>
              <w:tc>
                <w:tcPr>
                  <w:tcW w:w="353"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C</w:t>
                  </w:r>
                </w:p>
              </w:tc>
              <w:tc>
                <w:tcPr>
                  <w:tcW w:w="357"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r>
                    <w:rPr>
                      <w:rFonts w:hint="default" w:ascii="Times New Roman" w:hAnsi="Times New Roman" w:eastAsia="宋体" w:cs="Times New Roman"/>
                      <w:b/>
                      <w:bCs/>
                      <w:snapToGrid w:val="0"/>
                      <w:color w:val="auto"/>
                      <w:sz w:val="18"/>
                      <w:szCs w:val="18"/>
                      <w:highlight w:val="none"/>
                    </w:rPr>
                    <w:t>D</w:t>
                  </w:r>
                </w:p>
              </w:tc>
              <w:tc>
                <w:tcPr>
                  <w:tcW w:w="827" w:type="pct"/>
                  <w:vMerge w:val="continue"/>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b/>
                      <w:bCs/>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noWrap w:val="0"/>
                  <w:tcMar>
                    <w:left w:w="11" w:type="dxa"/>
                    <w:right w:w="11" w:type="dxa"/>
                  </w:tcMar>
                  <w:vAlign w:val="center"/>
                </w:tcPr>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生产车间</w:t>
                  </w:r>
                </w:p>
              </w:tc>
              <w:tc>
                <w:tcPr>
                  <w:tcW w:w="545" w:type="pct"/>
                  <w:tcBorders>
                    <w:tl2br w:val="nil"/>
                    <w:tr2bl w:val="nil"/>
                  </w:tcBorders>
                  <w:noWrap w:val="0"/>
                  <w:tcMar>
                    <w:left w:w="11" w:type="dxa"/>
                    <w:right w:w="11" w:type="dxa"/>
                  </w:tcMar>
                  <w:vAlign w:val="center"/>
                </w:tcPr>
                <w:p>
                  <w:pPr>
                    <w:keepNext w:val="0"/>
                    <w:keepLines w:val="0"/>
                    <w:pageBreakBefore w:val="0"/>
                    <w:widowControl w:val="0"/>
                    <w:tabs>
                      <w:tab w:val="left" w:pos="993"/>
                      <w:tab w:val="left" w:pos="1276"/>
                    </w:tabs>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eastAsia="zh-CN"/>
                    </w:rPr>
                    <w:t>非甲烷总烃</w:t>
                  </w:r>
                </w:p>
              </w:tc>
              <w:tc>
                <w:tcPr>
                  <w:tcW w:w="523" w:type="pct"/>
                  <w:tcBorders>
                    <w:tl2br w:val="nil"/>
                    <w:tr2bl w:val="nil"/>
                  </w:tcBorders>
                  <w:noWrap w:val="0"/>
                  <w:tcMar>
                    <w:left w:w="11" w:type="dxa"/>
                    <w:right w:w="11"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18"/>
                      <w:szCs w:val="18"/>
                      <w:highlight w:val="none"/>
                      <w:lang w:val="en-US" w:eastAsia="zh-CN"/>
                    </w:rPr>
                  </w:pPr>
                  <w:r>
                    <w:rPr>
                      <w:rFonts w:hint="eastAsia"/>
                      <w:sz w:val="18"/>
                      <w:szCs w:val="18"/>
                      <w:lang w:val="en-US" w:eastAsia="zh-CN"/>
                    </w:rPr>
                    <w:t>0.0017</w:t>
                  </w:r>
                </w:p>
              </w:tc>
              <w:tc>
                <w:tcPr>
                  <w:tcW w:w="506"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600</w:t>
                  </w:r>
                </w:p>
              </w:tc>
              <w:tc>
                <w:tcPr>
                  <w:tcW w:w="801"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2.0</w:t>
                  </w:r>
                </w:p>
              </w:tc>
              <w:tc>
                <w:tcPr>
                  <w:tcW w:w="353"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sz w:val="18"/>
                      <w:szCs w:val="18"/>
                      <w:highlight w:val="none"/>
                      <w:lang w:val="en-US" w:eastAsia="zh-CN"/>
                    </w:rPr>
                    <w:t>470</w:t>
                  </w:r>
                </w:p>
              </w:tc>
              <w:tc>
                <w:tcPr>
                  <w:tcW w:w="353"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snapToGrid w:val="0"/>
                      <w:color w:val="auto"/>
                      <w:sz w:val="18"/>
                      <w:szCs w:val="18"/>
                      <w:highlight w:val="none"/>
                    </w:rPr>
                    <w:t>0.021</w:t>
                  </w:r>
                </w:p>
              </w:tc>
              <w:tc>
                <w:tcPr>
                  <w:tcW w:w="353"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snapToGrid w:val="0"/>
                      <w:color w:val="auto"/>
                      <w:sz w:val="18"/>
                      <w:szCs w:val="18"/>
                      <w:highlight w:val="none"/>
                    </w:rPr>
                    <w:t>1.85</w:t>
                  </w:r>
                </w:p>
              </w:tc>
              <w:tc>
                <w:tcPr>
                  <w:tcW w:w="357"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snapToGrid w:val="0"/>
                      <w:color w:val="auto"/>
                      <w:sz w:val="18"/>
                      <w:szCs w:val="18"/>
                      <w:highlight w:val="none"/>
                    </w:rPr>
                    <w:t>0.84</w:t>
                  </w:r>
                </w:p>
              </w:tc>
              <w:tc>
                <w:tcPr>
                  <w:tcW w:w="827" w:type="pct"/>
                  <w:tcBorders>
                    <w:tl2br w:val="nil"/>
                    <w:tr2bl w:val="nil"/>
                  </w:tcBorders>
                  <w:noWrap w:val="0"/>
                  <w:tcMar>
                    <w:left w:w="11" w:type="dxa"/>
                    <w:right w:w="11" w:type="dxa"/>
                  </w:tcMar>
                  <w:vAlign w:val="center"/>
                </w:tcPr>
                <w:p>
                  <w:pPr>
                    <w:keepNext w:val="0"/>
                    <w:keepLines w:val="0"/>
                    <w:pageBreakBefore w:val="0"/>
                    <w:widowControl w:val="0"/>
                    <w:kinsoku/>
                    <w:wordWrap/>
                    <w:overflowPunct/>
                    <w:topLinePunct w:val="0"/>
                    <w:autoSpaceDE/>
                    <w:autoSpaceDN/>
                    <w:bidi w:val="0"/>
                    <w:ind w:left="0" w:leftChars="0"/>
                    <w:jc w:val="center"/>
                    <w:textAlignment w:val="auto"/>
                    <w:rPr>
                      <w:rFonts w:hint="default" w:ascii="Times New Roman" w:hAnsi="Times New Roman" w:eastAsia="宋体" w:cs="Times New Roman"/>
                      <w:snapToGrid w:val="0"/>
                      <w:color w:val="auto"/>
                      <w:sz w:val="18"/>
                      <w:szCs w:val="18"/>
                      <w:highlight w:val="none"/>
                      <w:lang w:val="en-US" w:eastAsia="zh-CN"/>
                    </w:rPr>
                  </w:pPr>
                  <w:r>
                    <w:rPr>
                      <w:rFonts w:hint="eastAsia" w:cs="Times New Roman"/>
                      <w:snapToGrid w:val="0"/>
                      <w:color w:val="auto"/>
                      <w:sz w:val="18"/>
                      <w:szCs w:val="18"/>
                      <w:highlight w:val="none"/>
                      <w:lang w:val="en-US" w:eastAsia="zh-CN"/>
                    </w:rPr>
                    <w:t>0.034</w:t>
                  </w:r>
                </w:p>
              </w:tc>
            </w:tr>
          </w:tbl>
          <w:p>
            <w:pPr>
              <w:keepNext w:val="0"/>
              <w:keepLines w:val="0"/>
              <w:pageBreakBefore w:val="0"/>
              <w:widowControl w:val="0"/>
              <w:kinsoku/>
              <w:wordWrap/>
              <w:overflowPunct/>
              <w:topLinePunct w:val="0"/>
              <w:bidi w:val="0"/>
              <w:adjustRightInd/>
              <w:snapToGrid/>
              <w:spacing w:line="360" w:lineRule="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*注：非甲烷总烃为综合性评价因子，直接提级为100。</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ascii="Times New Roman" w:hAnsi="Times New Roman" w:eastAsia="宋体" w:cs="Times New Roman"/>
                <w:color w:val="auto"/>
                <w:kern w:val="0"/>
                <w:sz w:val="21"/>
                <w:szCs w:val="21"/>
                <w:highlight w:val="none"/>
                <w:lang w:val="en-US" w:eastAsia="zh-CN" w:bidi="ar-SA"/>
              </w:rPr>
              <w:t>本项目</w:t>
            </w:r>
            <w:r>
              <w:rPr>
                <w:rFonts w:hint="eastAsia" w:cs="Times New Roman"/>
                <w:color w:val="auto"/>
                <w:kern w:val="0"/>
                <w:sz w:val="21"/>
                <w:szCs w:val="21"/>
                <w:highlight w:val="none"/>
                <w:lang w:val="en-US" w:eastAsia="zh-CN" w:bidi="ar-SA"/>
              </w:rPr>
              <w:t>已</w:t>
            </w:r>
            <w:r>
              <w:rPr>
                <w:rFonts w:hint="default" w:ascii="Times New Roman" w:hAnsi="Times New Roman" w:eastAsia="宋体" w:cs="Times New Roman"/>
                <w:color w:val="auto"/>
                <w:kern w:val="0"/>
                <w:sz w:val="21"/>
                <w:szCs w:val="21"/>
                <w:highlight w:val="none"/>
                <w:lang w:val="en-US" w:eastAsia="zh-CN" w:bidi="ar-SA"/>
              </w:rPr>
              <w:t>设置100m卫生防护距离。该卫生防护距离范围内无居民、医院、学校等环境敏感点，今后也不得设置环境敏感点，满足卫生防护距离的设置要求。项目卫生防护距离包络线图见附图</w:t>
            </w:r>
            <w:r>
              <w:rPr>
                <w:rFonts w:hint="eastAsia" w:cs="Times New Roman"/>
                <w:color w:val="auto"/>
                <w:kern w:val="0"/>
                <w:sz w:val="21"/>
                <w:szCs w:val="21"/>
                <w:highlight w:val="none"/>
                <w:lang w:val="en-US" w:eastAsia="zh-CN" w:bidi="ar-SA"/>
              </w:rPr>
              <w:t>二</w:t>
            </w:r>
            <w:r>
              <w:rPr>
                <w:rFonts w:hint="default" w:ascii="Times New Roman" w:hAnsi="Times New Roman" w:eastAsia="宋体" w:cs="Times New Roman"/>
                <w:color w:val="auto"/>
                <w:kern w:val="0"/>
                <w:sz w:val="21"/>
                <w:szCs w:val="21"/>
                <w:highlight w:val="none"/>
                <w:lang w:val="en-US" w:eastAsia="zh-CN" w:bidi="ar-SA"/>
              </w:rPr>
              <w:t>。</w:t>
            </w:r>
          </w:p>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非正常工况废气排放分析及措施：</w:t>
            </w:r>
          </w:p>
          <w:p>
            <w:pPr>
              <w:keepNext w:val="0"/>
              <w:keepLines w:val="0"/>
              <w:pageBreakBefore w:val="0"/>
              <w:kinsoku/>
              <w:wordWrap/>
              <w:overflowPunct/>
              <w:topLinePunct w:val="0"/>
              <w:autoSpaceDE/>
              <w:autoSpaceDN/>
              <w:bidi w:val="0"/>
              <w:adjustRightInd/>
              <w:snapToGrid/>
              <w:spacing w:line="360" w:lineRule="auto"/>
              <w:ind w:right="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正常工况包括开停车（工、炉）、设备检修、工艺设备运转异常等非正常工况下的污染物排放，以及污染物排放控制措施达不到应有效率等情况下的排放。通过环境管理，本项目非正常工况主要为废气治理系统故障造成废气污染物未经治理直接排放，或治理效率大幅度降低，污染物排放量增加。根据生产设备情况并结合企业职工操作水平，</w:t>
            </w:r>
            <w:r>
              <w:rPr>
                <w:rFonts w:hint="eastAsia" w:ascii="Times New Roman" w:hAnsi="Times New Roman" w:eastAsia="宋体" w:cs="Times New Roman"/>
                <w:color w:val="auto"/>
                <w:kern w:val="2"/>
                <w:sz w:val="21"/>
                <w:szCs w:val="21"/>
                <w:highlight w:val="none"/>
                <w:lang w:val="en-US" w:eastAsia="zh-CN" w:bidi="ar-SA"/>
              </w:rPr>
              <w:t>厂内排气筒</w:t>
            </w:r>
            <w:r>
              <w:rPr>
                <w:rFonts w:hint="default" w:ascii="Times New Roman" w:hAnsi="Times New Roman" w:eastAsia="宋体" w:cs="Times New Roman"/>
                <w:color w:val="auto"/>
                <w:kern w:val="2"/>
                <w:sz w:val="21"/>
                <w:szCs w:val="21"/>
                <w:highlight w:val="none"/>
                <w:lang w:val="en-US" w:eastAsia="zh-CN" w:bidi="ar-SA"/>
              </w:rPr>
              <w:t>按其中一级活性炭故障情况下，治理措施处理效率为70%，污染物连续1h排放进行污染物事故排放强度估算。根据废气源强产排情况表中最大污染物排放情况，具体详见下表。</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本项目</w:t>
            </w:r>
            <w:r>
              <w:rPr>
                <w:rFonts w:hint="default" w:ascii="Times New Roman" w:hAnsi="Times New Roman" w:eastAsia="宋体" w:cs="Times New Roman"/>
                <w:b/>
                <w:bCs/>
                <w:color w:val="auto"/>
                <w:sz w:val="21"/>
                <w:szCs w:val="21"/>
                <w:highlight w:val="none"/>
              </w:rPr>
              <w:t>非正常工况大气污染物年排放量核算表</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890"/>
              <w:gridCol w:w="547"/>
              <w:gridCol w:w="1213"/>
              <w:gridCol w:w="793"/>
              <w:gridCol w:w="671"/>
              <w:gridCol w:w="658"/>
              <w:gridCol w:w="670"/>
              <w:gridCol w:w="525"/>
              <w:gridCol w:w="557"/>
              <w:gridCol w:w="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排气筒编号</w:t>
                  </w:r>
                </w:p>
              </w:tc>
              <w:tc>
                <w:tcPr>
                  <w:tcW w:w="577"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非正常排放原因</w:t>
                  </w:r>
                </w:p>
              </w:tc>
              <w:tc>
                <w:tcPr>
                  <w:tcW w:w="354"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风量</w:t>
                  </w:r>
                </w:p>
                <w:p>
                  <w:pPr>
                    <w:spacing w:line="260" w:lineRule="exact"/>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m</w:t>
                  </w:r>
                  <w:r>
                    <w:rPr>
                      <w:rFonts w:hint="default" w:ascii="Times New Roman" w:hAnsi="Times New Roman" w:eastAsia="宋体" w:cs="Times New Roman"/>
                      <w:b/>
                      <w:bCs/>
                      <w:color w:val="auto"/>
                      <w:sz w:val="18"/>
                      <w:szCs w:val="18"/>
                      <w:highlight w:val="none"/>
                      <w:vertAlign w:val="superscript"/>
                      <w:lang w:val="en-US" w:eastAsia="zh-CN"/>
                    </w:rPr>
                    <w:t>3</w:t>
                  </w:r>
                  <w:r>
                    <w:rPr>
                      <w:rFonts w:hint="default" w:ascii="Times New Roman" w:hAnsi="Times New Roman" w:eastAsia="宋体" w:cs="Times New Roman"/>
                      <w:b/>
                      <w:bCs/>
                      <w:color w:val="auto"/>
                      <w:sz w:val="18"/>
                      <w:szCs w:val="18"/>
                      <w:highlight w:val="none"/>
                      <w:lang w:val="en-US" w:eastAsia="zh-CN"/>
                    </w:rPr>
                    <w:t>/h</w:t>
                  </w:r>
                </w:p>
              </w:tc>
              <w:tc>
                <w:tcPr>
                  <w:tcW w:w="786"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w:t>
                  </w:r>
                </w:p>
                <w:p>
                  <w:pPr>
                    <w:spacing w:line="260" w:lineRule="exact"/>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w:t>
                  </w:r>
                </w:p>
              </w:tc>
              <w:tc>
                <w:tcPr>
                  <w:tcW w:w="1375" w:type="pct"/>
                  <w:gridSpan w:val="3"/>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非正常排放情况</w:t>
                  </w:r>
                </w:p>
              </w:tc>
              <w:tc>
                <w:tcPr>
                  <w:tcW w:w="434"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eastAsia="zh-CN"/>
                    </w:rPr>
                    <w:t>单次持续时间</w:t>
                  </w:r>
                  <w:r>
                    <w:rPr>
                      <w:rFonts w:hint="default" w:ascii="Times New Roman" w:hAnsi="Times New Roman" w:eastAsia="宋体" w:cs="Times New Roman"/>
                      <w:b/>
                      <w:bCs/>
                      <w:color w:val="auto"/>
                      <w:sz w:val="18"/>
                      <w:szCs w:val="18"/>
                      <w:highlight w:val="none"/>
                      <w:lang w:val="en-US" w:eastAsia="zh-CN"/>
                    </w:rPr>
                    <w:t>h</w:t>
                  </w:r>
                </w:p>
              </w:tc>
              <w:tc>
                <w:tcPr>
                  <w:tcW w:w="340"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排放量kg</w:t>
                  </w:r>
                </w:p>
              </w:tc>
              <w:tc>
                <w:tcPr>
                  <w:tcW w:w="361"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eastAsia="zh-CN"/>
                    </w:rPr>
                    <w:t>年发生频次</w:t>
                  </w:r>
                </w:p>
              </w:tc>
              <w:tc>
                <w:tcPr>
                  <w:tcW w:w="400" w:type="pct"/>
                  <w:vMerge w:val="restar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rPr>
                  </w:pPr>
                </w:p>
              </w:tc>
              <w:tc>
                <w:tcPr>
                  <w:tcW w:w="577"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p>
              </w:tc>
              <w:tc>
                <w:tcPr>
                  <w:tcW w:w="354"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rPr>
                  </w:pPr>
                </w:p>
              </w:tc>
              <w:tc>
                <w:tcPr>
                  <w:tcW w:w="786"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rPr>
                  </w:pPr>
                </w:p>
              </w:tc>
              <w:tc>
                <w:tcPr>
                  <w:tcW w:w="514" w:type="pc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浓度mg/m</w:t>
                  </w:r>
                  <w:r>
                    <w:rPr>
                      <w:rFonts w:hint="default" w:ascii="Times New Roman" w:hAnsi="Times New Roman" w:eastAsia="宋体" w:cs="Times New Roman"/>
                      <w:b/>
                      <w:bCs/>
                      <w:color w:val="auto"/>
                      <w:sz w:val="18"/>
                      <w:szCs w:val="18"/>
                      <w:highlight w:val="none"/>
                      <w:vertAlign w:val="superscript"/>
                    </w:rPr>
                    <w:t>3</w:t>
                  </w:r>
                </w:p>
              </w:tc>
              <w:tc>
                <w:tcPr>
                  <w:tcW w:w="435" w:type="pc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速率kg/h</w:t>
                  </w:r>
                </w:p>
              </w:tc>
              <w:tc>
                <w:tcPr>
                  <w:tcW w:w="424" w:type="pct"/>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lang w:eastAsia="zh-CN"/>
                    </w:rPr>
                    <w:t>排放</w:t>
                  </w:r>
                  <w:r>
                    <w:rPr>
                      <w:rFonts w:hint="default" w:ascii="Times New Roman" w:hAnsi="Times New Roman" w:eastAsia="宋体" w:cs="Times New Roman"/>
                      <w:b/>
                      <w:bCs/>
                      <w:color w:val="auto"/>
                      <w:sz w:val="18"/>
                      <w:szCs w:val="18"/>
                      <w:highlight w:val="none"/>
                    </w:rPr>
                    <w:t>量</w:t>
                  </w:r>
                  <w:r>
                    <w:rPr>
                      <w:rFonts w:hint="default" w:ascii="Times New Roman" w:hAnsi="Times New Roman" w:eastAsia="宋体" w:cs="Times New Roman"/>
                      <w:b/>
                      <w:bCs/>
                      <w:color w:val="auto"/>
                      <w:sz w:val="18"/>
                      <w:szCs w:val="18"/>
                      <w:highlight w:val="none"/>
                      <w:lang w:val="en-US" w:eastAsia="zh-CN"/>
                    </w:rPr>
                    <w:t>t/a</w:t>
                  </w:r>
                </w:p>
              </w:tc>
              <w:tc>
                <w:tcPr>
                  <w:tcW w:w="434"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p>
              </w:tc>
              <w:tc>
                <w:tcPr>
                  <w:tcW w:w="340"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p>
              </w:tc>
              <w:tc>
                <w:tcPr>
                  <w:tcW w:w="361"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p>
              </w:tc>
              <w:tc>
                <w:tcPr>
                  <w:tcW w:w="400" w:type="pct"/>
                  <w:vMerge w:val="continue"/>
                  <w:tcBorders>
                    <w:tl2br w:val="nil"/>
                    <w:tr2bl w:val="nil"/>
                  </w:tcBorders>
                  <w:noWrap w:val="0"/>
                  <w:tcMar>
                    <w:left w:w="57" w:type="dxa"/>
                    <w:right w:w="57" w:type="dxa"/>
                  </w:tcMar>
                  <w:vAlign w:val="center"/>
                </w:tcPr>
                <w:p>
                  <w:pPr>
                    <w:spacing w:line="260" w:lineRule="exact"/>
                    <w:jc w:val="center"/>
                    <w:rPr>
                      <w:rFonts w:hint="default" w:ascii="Times New Roman" w:hAnsi="Times New Roman" w:eastAsia="宋体" w:cs="Times New Roman"/>
                      <w:b/>
                      <w:bCs/>
                      <w:color w:val="auto"/>
                      <w:sz w:val="18"/>
                      <w:szCs w:val="18"/>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tcBorders>
                    <w:tl2br w:val="nil"/>
                    <w:tr2bl w:val="nil"/>
                  </w:tcBorders>
                  <w:noWrap w:val="0"/>
                  <w:tcMar>
                    <w:left w:w="57"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sz w:val="18"/>
                      <w:szCs w:val="18"/>
                      <w:lang w:val="en-US" w:eastAsia="zh-CN"/>
                    </w:rPr>
                    <w:t>P1</w:t>
                  </w:r>
                </w:p>
              </w:tc>
              <w:tc>
                <w:tcPr>
                  <w:tcW w:w="577"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废气处理设施故障</w:t>
                  </w:r>
                </w:p>
              </w:tc>
              <w:tc>
                <w:tcPr>
                  <w:tcW w:w="354"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lang w:val="en-US" w:eastAsia="zh-CN"/>
                    </w:rPr>
                    <w:t>000</w:t>
                  </w:r>
                </w:p>
              </w:tc>
              <w:tc>
                <w:tcPr>
                  <w:tcW w:w="786"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514"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0.75</w:t>
                  </w:r>
                </w:p>
              </w:tc>
              <w:tc>
                <w:tcPr>
                  <w:tcW w:w="435"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0.0045</w:t>
                  </w:r>
                </w:p>
              </w:tc>
              <w:tc>
                <w:tcPr>
                  <w:tcW w:w="424"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0.027</w:t>
                  </w:r>
                </w:p>
              </w:tc>
              <w:tc>
                <w:tcPr>
                  <w:tcW w:w="434"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1</w:t>
                  </w:r>
                </w:p>
              </w:tc>
              <w:tc>
                <w:tcPr>
                  <w:tcW w:w="340" w:type="pct"/>
                  <w:tcBorders>
                    <w:tl2br w:val="nil"/>
                    <w:tr2bl w:val="nil"/>
                  </w:tcBorders>
                  <w:noWrap w:val="0"/>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0.0045</w:t>
                  </w:r>
                </w:p>
              </w:tc>
              <w:tc>
                <w:tcPr>
                  <w:tcW w:w="361"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1次/3年</w:t>
                  </w:r>
                </w:p>
              </w:tc>
              <w:tc>
                <w:tcPr>
                  <w:tcW w:w="400"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停产，维修</w:t>
                  </w:r>
                </w:p>
              </w:tc>
            </w:tr>
          </w:tbl>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ascii="Times New Roman" w:hAnsi="Times New Roman" w:eastAsia="宋体" w:cs="Times New Roman"/>
                <w:color w:val="auto"/>
                <w:kern w:val="2"/>
                <w:sz w:val="21"/>
                <w:szCs w:val="21"/>
                <w:highlight w:val="none"/>
                <w:lang w:val="en-US" w:eastAsia="zh-CN" w:bidi="ar-SA"/>
              </w:rPr>
              <w:t>由上表可知，废气处理系统故障后，虽未出现超标现象，但处理效果降低。</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snapToGrid w:val="0"/>
                <w:color w:val="auto"/>
                <w:spacing w:val="-4"/>
                <w:kern w:val="2"/>
                <w:sz w:val="21"/>
                <w:szCs w:val="21"/>
                <w:highlight w:val="none"/>
                <w:lang w:val="en-US" w:eastAsia="zh-CN" w:bidi="ar-SA"/>
              </w:rPr>
            </w:pPr>
            <w:r>
              <w:rPr>
                <w:rFonts w:hint="default" w:ascii="Times New Roman" w:hAnsi="Times New Roman" w:eastAsia="宋体" w:cs="Times New Roman"/>
                <w:b/>
                <w:snapToGrid w:val="0"/>
                <w:color w:val="auto"/>
                <w:spacing w:val="-4"/>
                <w:kern w:val="2"/>
                <w:sz w:val="21"/>
                <w:szCs w:val="21"/>
                <w:highlight w:val="none"/>
                <w:lang w:val="en-US" w:eastAsia="zh-CN" w:bidi="ar-SA"/>
              </w:rPr>
              <w:t>表4</w:t>
            </w:r>
            <w:r>
              <w:rPr>
                <w:rFonts w:hint="eastAsia" w:ascii="Times New Roman" w:hAnsi="Times New Roman" w:eastAsia="宋体" w:cs="Times New Roman"/>
                <w:b/>
                <w:snapToGrid w:val="0"/>
                <w:color w:val="auto"/>
                <w:spacing w:val="-4"/>
                <w:kern w:val="2"/>
                <w:sz w:val="21"/>
                <w:szCs w:val="21"/>
                <w:highlight w:val="none"/>
                <w:lang w:val="en-US" w:eastAsia="zh-CN" w:bidi="ar-SA"/>
              </w:rPr>
              <w:t>-</w:t>
            </w:r>
            <w:r>
              <w:rPr>
                <w:rFonts w:hint="eastAsia" w:cs="Times New Roman"/>
                <w:b/>
                <w:snapToGrid w:val="0"/>
                <w:color w:val="auto"/>
                <w:spacing w:val="-4"/>
                <w:kern w:val="2"/>
                <w:sz w:val="21"/>
                <w:szCs w:val="21"/>
                <w:highlight w:val="none"/>
                <w:lang w:val="en-US" w:eastAsia="zh-CN" w:bidi="ar-SA"/>
              </w:rPr>
              <w:t>11</w:t>
            </w:r>
            <w:r>
              <w:rPr>
                <w:rFonts w:hint="eastAsia" w:ascii="Times New Roman" w:hAnsi="Times New Roman" w:eastAsia="宋体" w:cs="Times New Roman"/>
                <w:b/>
                <w:snapToGrid w:val="0"/>
                <w:color w:val="auto"/>
                <w:spacing w:val="-4"/>
                <w:kern w:val="2"/>
                <w:sz w:val="21"/>
                <w:szCs w:val="21"/>
                <w:highlight w:val="none"/>
                <w:lang w:val="en-US" w:eastAsia="zh-CN" w:bidi="ar-SA"/>
              </w:rPr>
              <w:t xml:space="preserve">  项目</w:t>
            </w:r>
            <w:r>
              <w:rPr>
                <w:rFonts w:hint="default" w:ascii="Times New Roman" w:hAnsi="Times New Roman" w:eastAsia="宋体" w:cs="Times New Roman"/>
                <w:b/>
                <w:snapToGrid w:val="0"/>
                <w:color w:val="auto"/>
                <w:spacing w:val="-4"/>
                <w:kern w:val="2"/>
                <w:sz w:val="21"/>
                <w:szCs w:val="21"/>
                <w:highlight w:val="none"/>
                <w:lang w:val="en-US" w:eastAsia="zh-CN" w:bidi="ar-SA"/>
              </w:rPr>
              <w:t>废气监测要求</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943"/>
              <w:gridCol w:w="1794"/>
              <w:gridCol w:w="1178"/>
              <w:gridCol w:w="1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类别</w:t>
                  </w:r>
                </w:p>
              </w:tc>
              <w:tc>
                <w:tcPr>
                  <w:tcW w:w="125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监测点位</w:t>
                  </w:r>
                </w:p>
              </w:tc>
              <w:tc>
                <w:tcPr>
                  <w:tcW w:w="1162"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监测项目</w:t>
                  </w:r>
                </w:p>
              </w:tc>
              <w:tc>
                <w:tcPr>
                  <w:tcW w:w="762"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监测频次</w:t>
                  </w:r>
                </w:p>
              </w:tc>
              <w:tc>
                <w:tcPr>
                  <w:tcW w:w="1151"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64"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有组织</w:t>
                  </w:r>
                </w:p>
              </w:tc>
              <w:tc>
                <w:tcPr>
                  <w:tcW w:w="1258" w:type="pct"/>
                  <w:tcBorders>
                    <w:tl2br w:val="nil"/>
                    <w:tr2bl w:val="nil"/>
                  </w:tcBorders>
                  <w:noWrap w:val="0"/>
                  <w:vAlign w:val="center"/>
                </w:tcPr>
                <w:p>
                  <w:pPr>
                    <w:pStyle w:val="45"/>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rPr>
                    <w:t>排气筒</w:t>
                  </w:r>
                </w:p>
              </w:tc>
              <w:tc>
                <w:tcPr>
                  <w:tcW w:w="1162" w:type="pct"/>
                  <w:tcBorders>
                    <w:tl2br w:val="nil"/>
                    <w:tr2bl w:val="nil"/>
                  </w:tcBorders>
                  <w:noWrap w:val="0"/>
                  <w:vAlign w:val="center"/>
                </w:tcPr>
                <w:p>
                  <w:pPr>
                    <w:pStyle w:val="45"/>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rPr>
                    <w:t>非甲烷总烃</w:t>
                  </w:r>
                </w:p>
              </w:tc>
              <w:tc>
                <w:tcPr>
                  <w:tcW w:w="762"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1次/年</w:t>
                  </w:r>
                </w:p>
              </w:tc>
              <w:tc>
                <w:tcPr>
                  <w:tcW w:w="1151"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cs="Times New Roman"/>
                      <w:sz w:val="18"/>
                      <w:szCs w:val="18"/>
                      <w:lang w:eastAsia="zh-CN"/>
                    </w:rPr>
                  </w:pPr>
                  <w:r>
                    <w:rPr>
                      <w:rFonts w:hint="eastAsia" w:cs="Times New Roman"/>
                      <w:sz w:val="18"/>
                      <w:szCs w:val="18"/>
                      <w:lang w:val="en-US" w:eastAsia="zh-CN"/>
                    </w:rPr>
                    <w:t>GB31572-2015</w:t>
                  </w:r>
                  <w:r>
                    <w:rPr>
                      <w:rFonts w:hint="eastAsia" w:cs="Times New Roman"/>
                      <w:sz w:val="18"/>
                      <w:szCs w:val="18"/>
                      <w:lang w:eastAsia="zh-CN"/>
                    </w:rPr>
                    <w:t>、</w:t>
                  </w:r>
                </w:p>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Cs/>
                      <w:color w:val="auto"/>
                      <w:kern w:val="0"/>
                      <w:sz w:val="18"/>
                      <w:szCs w:val="18"/>
                      <w:highlight w:val="none"/>
                    </w:rPr>
                  </w:pPr>
                  <w:r>
                    <w:rPr>
                      <w:rFonts w:hint="default" w:ascii="Times New Roman" w:hAnsi="Times New Roman" w:cs="Times New Roman"/>
                      <w:color w:val="auto"/>
                      <w:sz w:val="18"/>
                      <w:szCs w:val="18"/>
                    </w:rPr>
                    <w:t>GB37822-2019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无组织</w:t>
                  </w:r>
                </w:p>
              </w:tc>
              <w:tc>
                <w:tcPr>
                  <w:tcW w:w="1258"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厂界（上风向1个点，下风向3个点）</w:t>
                  </w:r>
                </w:p>
              </w:tc>
              <w:tc>
                <w:tcPr>
                  <w:tcW w:w="1162" w:type="pct"/>
                  <w:tcBorders>
                    <w:tl2br w:val="nil"/>
                    <w:tr2bl w:val="nil"/>
                  </w:tcBorders>
                  <w:noWrap w:val="0"/>
                  <w:vAlign w:val="center"/>
                </w:tcPr>
                <w:p>
                  <w:pPr>
                    <w:pStyle w:val="45"/>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rPr>
                    <w:t>非甲烷总烃</w:t>
                  </w:r>
                </w:p>
              </w:tc>
              <w:tc>
                <w:tcPr>
                  <w:tcW w:w="762"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1次/年</w:t>
                  </w:r>
                </w:p>
              </w:tc>
              <w:tc>
                <w:tcPr>
                  <w:tcW w:w="1151"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Cs/>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auto"/>
                      <w:sz w:val="18"/>
                      <w:szCs w:val="18"/>
                      <w:highlight w:val="none"/>
                      <w:lang w:val="en-US" w:eastAsia="zh-CN"/>
                    </w:rPr>
                  </w:pPr>
                </w:p>
              </w:tc>
              <w:tc>
                <w:tcPr>
                  <w:tcW w:w="1258"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厂区内厂房外设置监控点*</w:t>
                  </w:r>
                </w:p>
              </w:tc>
              <w:tc>
                <w:tcPr>
                  <w:tcW w:w="1162" w:type="pct"/>
                  <w:tcBorders>
                    <w:tl2br w:val="nil"/>
                    <w:tr2bl w:val="nil"/>
                  </w:tcBorders>
                  <w:noWrap w:val="0"/>
                  <w:vAlign w:val="center"/>
                </w:tcPr>
                <w:p>
                  <w:pPr>
                    <w:pStyle w:val="45"/>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rPr>
                    <w:t>非甲烷总烃</w:t>
                  </w:r>
                </w:p>
              </w:tc>
              <w:tc>
                <w:tcPr>
                  <w:tcW w:w="762"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1次/年</w:t>
                  </w:r>
                </w:p>
              </w:tc>
              <w:tc>
                <w:tcPr>
                  <w:tcW w:w="1151"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Cs/>
                      <w:color w:val="auto"/>
                      <w:kern w:val="0"/>
                      <w:sz w:val="18"/>
                      <w:szCs w:val="18"/>
                      <w:highlight w:val="none"/>
                    </w:rPr>
                  </w:pPr>
                </w:p>
              </w:tc>
            </w:tr>
          </w:tbl>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注：根据</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大气污染物综合排放标准</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DB32/4041-2021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表2</w:t>
            </w:r>
            <w:r>
              <w:rPr>
                <w:rFonts w:hint="default" w:ascii="Times New Roman" w:hAnsi="Times New Roman" w:eastAsia="宋体" w:cs="Times New Roman"/>
                <w:color w:val="000000"/>
                <w:sz w:val="21"/>
                <w:szCs w:val="21"/>
              </w:rPr>
              <w:t>排放限值</w:t>
            </w:r>
            <w:r>
              <w:rPr>
                <w:rFonts w:hint="default" w:ascii="Times New Roman" w:hAnsi="Times New Roman" w:eastAsia="宋体" w:cs="Times New Roman"/>
                <w:color w:val="auto"/>
                <w:kern w:val="2"/>
                <w:sz w:val="21"/>
                <w:szCs w:val="21"/>
                <w:highlight w:val="none"/>
                <w:lang w:val="en-US" w:eastAsia="zh-CN" w:bidi="ar-SA"/>
              </w:rPr>
              <w:t>要求，对厂区内VOCs进行监控时，在厂房门窗或通风口、其他开口（孔）等排放口外1m，距离地面1.5m以上位置处进行监测。若厂房不完整（如有顶围墙），则在操作工位下风向1m，距离地面1.5m以上位置处进行监测。</w:t>
            </w:r>
          </w:p>
          <w:p>
            <w:pPr>
              <w:pStyle w:val="15"/>
              <w:rPr>
                <w:rFonts w:hint="default"/>
                <w:sz w:val="21"/>
                <w:szCs w:val="21"/>
                <w:lang w:val="en-US" w:eastAsia="zh-CN"/>
              </w:rPr>
            </w:pPr>
            <w:r>
              <w:rPr>
                <w:rFonts w:hint="default"/>
                <w:sz w:val="21"/>
                <w:szCs w:val="21"/>
                <w:lang w:val="en-US" w:eastAsia="zh-CN"/>
              </w:rPr>
              <w:t>大气环境影响分析结论：本项目所在区域环境质量现状达标；项目采取的污染治理措施为</w:t>
            </w:r>
            <w:r>
              <w:rPr>
                <w:rFonts w:hint="default" w:ascii="Times New Roman" w:hAnsi="Times New Roman" w:eastAsia="宋体" w:cs="Times New Roman"/>
                <w:kern w:val="0"/>
                <w:sz w:val="21"/>
                <w:szCs w:val="21"/>
                <w:lang w:val="en-US" w:eastAsia="zh-CN" w:bidi="ar-SA"/>
              </w:rPr>
              <w:t>《排污许可证申请与核发技术规范 橡胶和塑料制品工业》(HJ1122-2020)</w:t>
            </w:r>
            <w:r>
              <w:rPr>
                <w:rFonts w:hint="eastAsia" w:ascii="Times New Roman" w:hAnsi="Times New Roman" w:eastAsia="宋体" w:cs="Times New Roman"/>
                <w:kern w:val="0"/>
                <w:sz w:val="21"/>
                <w:szCs w:val="21"/>
                <w:lang w:val="en-US" w:eastAsia="zh-CN" w:bidi="ar-SA"/>
              </w:rPr>
              <w:t xml:space="preserve"> </w:t>
            </w:r>
            <w:r>
              <w:rPr>
                <w:rFonts w:hint="default"/>
                <w:sz w:val="21"/>
                <w:szCs w:val="21"/>
                <w:lang w:val="en-US" w:eastAsia="zh-CN"/>
              </w:rPr>
              <w:t>中的可行技术，有组织、无组织废气均可达标排放，对周围大气环境的影响较小，不会改变项目所在地的环境功能级别</w:t>
            </w:r>
            <w:r>
              <w:rPr>
                <w:rFonts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sz w:val="21"/>
                <w:szCs w:val="21"/>
                <w:lang w:val="en-US" w:eastAsia="zh-CN"/>
              </w:rPr>
            </w:pPr>
            <w:r>
              <w:rPr>
                <w:rFonts w:hint="eastAsia"/>
                <w:b/>
                <w:bCs/>
                <w:sz w:val="21"/>
                <w:szCs w:val="21"/>
                <w:lang w:val="en-US" w:eastAsia="zh-CN"/>
              </w:rPr>
              <w:t>3</w:t>
            </w:r>
            <w:r>
              <w:rPr>
                <w:rFonts w:hint="default"/>
                <w:b/>
                <w:bCs/>
                <w:sz w:val="21"/>
                <w:szCs w:val="21"/>
                <w:lang w:val="en-US" w:eastAsia="zh-CN"/>
              </w:rPr>
              <w:t>、废水</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本项目废水主要为生活污水</w:t>
            </w:r>
            <w:r>
              <w:rPr>
                <w:rFonts w:hint="eastAsia"/>
                <w:lang w:val="en-US" w:eastAsia="zh-CN"/>
              </w:rPr>
              <w:t>和</w:t>
            </w:r>
            <w:r>
              <w:rPr>
                <w:rFonts w:hint="default"/>
                <w:lang w:val="en-US" w:eastAsia="zh-CN"/>
              </w:rPr>
              <w:t>间接循环冷却水。</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间接循环冷却水</w:t>
            </w:r>
            <w:r>
              <w:rPr>
                <w:rFonts w:hint="eastAsia"/>
                <w:lang w:val="en-US" w:eastAsia="zh-CN"/>
              </w:rPr>
              <w:t>：</w:t>
            </w:r>
            <w:r>
              <w:rPr>
                <w:rFonts w:hint="default"/>
                <w:lang w:val="en-US" w:eastAsia="zh-CN"/>
              </w:rPr>
              <w:t>间接循环冷却水</w:t>
            </w:r>
            <w:r>
              <w:rPr>
                <w:rFonts w:hint="eastAsia"/>
                <w:lang w:val="en-US" w:eastAsia="zh-CN"/>
              </w:rPr>
              <w:t>定期排放，一年两次，每次2t，</w:t>
            </w:r>
            <w:r>
              <w:rPr>
                <w:rFonts w:hint="default"/>
                <w:lang w:val="en-US" w:eastAsia="zh-CN"/>
              </w:rPr>
              <w:t>项目生产过程中冷却水循环使用，生产过程中不与物料接触。</w:t>
            </w:r>
            <w:r>
              <w:rPr>
                <w:rFonts w:hint="eastAsia"/>
                <w:lang w:val="en-US" w:eastAsia="zh-CN"/>
              </w:rPr>
              <w:t>现有2台</w:t>
            </w:r>
            <w:r>
              <w:rPr>
                <w:rFonts w:hint="default"/>
                <w:lang w:val="en-US" w:eastAsia="zh-CN"/>
              </w:rPr>
              <w:t>循环能力为</w:t>
            </w:r>
            <w:r>
              <w:rPr>
                <w:rFonts w:hint="eastAsia"/>
                <w:highlight w:val="none"/>
                <w:lang w:val="en-US" w:eastAsia="zh-CN"/>
              </w:rPr>
              <w:t>80</w:t>
            </w:r>
            <w:r>
              <w:rPr>
                <w:rFonts w:hint="default"/>
                <w:lang w:val="en-US" w:eastAsia="zh-CN"/>
              </w:rPr>
              <w:t>m</w:t>
            </w:r>
            <w:r>
              <w:rPr>
                <w:rFonts w:hint="default"/>
                <w:vertAlign w:val="superscript"/>
                <w:lang w:val="en-US" w:eastAsia="zh-CN"/>
              </w:rPr>
              <w:t>3</w:t>
            </w:r>
            <w:r>
              <w:rPr>
                <w:rFonts w:hint="default"/>
                <w:lang w:val="en-US" w:eastAsia="zh-CN"/>
              </w:rPr>
              <w:t>/h</w:t>
            </w:r>
            <w:r>
              <w:rPr>
                <w:rFonts w:hint="eastAsia"/>
                <w:lang w:val="en-US" w:eastAsia="zh-CN"/>
              </w:rPr>
              <w:t>的</w:t>
            </w:r>
            <w:r>
              <w:rPr>
                <w:rFonts w:hint="default"/>
                <w:lang w:val="en-US" w:eastAsia="zh-CN"/>
              </w:rPr>
              <w:t>冷却塔，</w:t>
            </w:r>
            <w:r>
              <w:rPr>
                <w:rFonts w:hint="eastAsia"/>
                <w:lang w:val="en-US" w:eastAsia="zh-CN"/>
              </w:rPr>
              <w:t>技改后增加1</w:t>
            </w:r>
            <w:r>
              <w:rPr>
                <w:rFonts w:hint="default"/>
                <w:lang w:val="en-US" w:eastAsia="zh-CN"/>
              </w:rPr>
              <w:t>台循环能力为</w:t>
            </w:r>
            <w:r>
              <w:rPr>
                <w:rFonts w:hint="eastAsia"/>
                <w:highlight w:val="none"/>
                <w:lang w:val="en-US" w:eastAsia="zh-CN"/>
              </w:rPr>
              <w:t>100</w:t>
            </w:r>
            <w:r>
              <w:rPr>
                <w:rFonts w:hint="default"/>
                <w:lang w:val="en-US" w:eastAsia="zh-CN"/>
              </w:rPr>
              <w:t>m</w:t>
            </w:r>
            <w:r>
              <w:rPr>
                <w:rFonts w:hint="default"/>
                <w:vertAlign w:val="superscript"/>
                <w:lang w:val="en-US" w:eastAsia="zh-CN"/>
              </w:rPr>
              <w:t>3</w:t>
            </w:r>
            <w:r>
              <w:rPr>
                <w:rFonts w:hint="default"/>
                <w:lang w:val="en-US" w:eastAsia="zh-CN"/>
              </w:rPr>
              <w:t>/h</w:t>
            </w:r>
            <w:r>
              <w:rPr>
                <w:rFonts w:hint="eastAsia"/>
                <w:lang w:val="en-US" w:eastAsia="zh-CN"/>
              </w:rPr>
              <w:t>的</w:t>
            </w:r>
            <w:r>
              <w:rPr>
                <w:rFonts w:hint="default"/>
                <w:lang w:val="en-US" w:eastAsia="zh-CN"/>
              </w:rPr>
              <w:t>冷却塔，</w:t>
            </w:r>
            <w:r>
              <w:rPr>
                <w:rFonts w:hint="eastAsia"/>
                <w:lang w:val="en-US" w:eastAsia="zh-CN"/>
              </w:rPr>
              <w:t>单次排水量增加为3t。</w:t>
            </w:r>
            <w:r>
              <w:rPr>
                <w:rFonts w:hint="default"/>
                <w:lang w:val="en-US" w:eastAsia="zh-CN"/>
              </w:rPr>
              <w:t>按照每年工作时间6000h计算，冷却水循环</w:t>
            </w:r>
            <w:r>
              <w:rPr>
                <w:rFonts w:hint="eastAsia"/>
                <w:lang w:val="en-US" w:eastAsia="zh-CN"/>
              </w:rPr>
              <w:t>量为</w:t>
            </w:r>
            <w:r>
              <w:rPr>
                <w:rFonts w:hint="eastAsia"/>
                <w:highlight w:val="none"/>
                <w:lang w:val="en-US" w:eastAsia="zh-CN"/>
              </w:rPr>
              <w:t>1560</w:t>
            </w:r>
            <w:r>
              <w:rPr>
                <w:rFonts w:hint="default"/>
                <w:highlight w:val="none"/>
                <w:lang w:val="en-US" w:eastAsia="zh-CN"/>
              </w:rPr>
              <w:t>000</w:t>
            </w:r>
            <w:r>
              <w:rPr>
                <w:rFonts w:hint="default"/>
                <w:lang w:val="en-US" w:eastAsia="zh-CN"/>
              </w:rPr>
              <w:t>m</w:t>
            </w:r>
            <w:r>
              <w:rPr>
                <w:rFonts w:hint="default"/>
                <w:vertAlign w:val="superscript"/>
                <w:lang w:val="en-US" w:eastAsia="zh-CN"/>
              </w:rPr>
              <w:t>3</w:t>
            </w:r>
            <w:r>
              <w:rPr>
                <w:rFonts w:hint="default"/>
                <w:lang w:val="en-US" w:eastAsia="zh-CN"/>
              </w:rPr>
              <w:t>/a，年补充水量按照循环量的1%计算，则年补充水量为</w:t>
            </w:r>
            <w:r>
              <w:rPr>
                <w:rFonts w:hint="eastAsia"/>
                <w:highlight w:val="none"/>
                <w:lang w:val="en-US" w:eastAsia="zh-CN"/>
              </w:rPr>
              <w:t>1560</w:t>
            </w:r>
            <w:r>
              <w:rPr>
                <w:rFonts w:hint="default"/>
                <w:highlight w:val="none"/>
                <w:lang w:val="en-US" w:eastAsia="zh-CN"/>
              </w:rPr>
              <w:t>0</w:t>
            </w:r>
            <w:r>
              <w:rPr>
                <w:rFonts w:hint="default"/>
                <w:lang w:val="en-US" w:eastAsia="zh-CN"/>
              </w:rPr>
              <w:t xml:space="preserve"> t/a。</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rPr>
            </w:pPr>
            <w:r>
              <w:rPr>
                <w:rFonts w:hint="default"/>
              </w:rPr>
              <w:t>生活</w:t>
            </w:r>
            <w:r>
              <w:rPr>
                <w:rFonts w:hint="default"/>
                <w:lang w:val="en-US" w:eastAsia="zh-CN"/>
              </w:rPr>
              <w:t>污水</w:t>
            </w:r>
            <w:r>
              <w:rPr>
                <w:rFonts w:hint="default"/>
              </w:rPr>
              <w:t>：本项目职工</w:t>
            </w:r>
            <w:r>
              <w:rPr>
                <w:rFonts w:hint="eastAsia"/>
                <w:lang w:val="en-US" w:eastAsia="zh-CN"/>
              </w:rPr>
              <w:t>80</w:t>
            </w:r>
            <w:r>
              <w:rPr>
                <w:rFonts w:hint="default"/>
              </w:rPr>
              <w:t>人</w:t>
            </w:r>
            <w:r>
              <w:rPr>
                <w:rFonts w:hint="eastAsia" w:ascii="Times New Roman" w:hAnsi="Times New Roman" w:eastAsia="宋体" w:cs="Times New Roman"/>
                <w:kern w:val="0"/>
                <w:sz w:val="21"/>
                <w:szCs w:val="21"/>
                <w:highlight w:val="none"/>
                <w:lang w:val="en-US" w:eastAsia="zh-CN"/>
              </w:rPr>
              <w:t>（</w:t>
            </w:r>
            <w:r>
              <w:rPr>
                <w:rFonts w:hint="default" w:ascii="Times New Roman" w:hAnsi="Times New Roman" w:eastAsia="宋体" w:cs="Times New Roman"/>
                <w:kern w:val="0"/>
                <w:sz w:val="21"/>
                <w:szCs w:val="21"/>
                <w:highlight w:val="none"/>
                <w:lang w:val="en-US" w:eastAsia="zh-CN"/>
              </w:rPr>
              <w:t>生活用水以1</w:t>
            </w:r>
            <w:r>
              <w:rPr>
                <w:rFonts w:hint="eastAsia" w:cs="Times New Roman"/>
                <w:kern w:val="0"/>
                <w:sz w:val="21"/>
                <w:szCs w:val="21"/>
                <w:highlight w:val="none"/>
                <w:lang w:val="en-US" w:eastAsia="zh-CN"/>
              </w:rPr>
              <w:t>00</w:t>
            </w:r>
            <w:r>
              <w:rPr>
                <w:rFonts w:hint="default" w:ascii="Times New Roman" w:hAnsi="Times New Roman" w:eastAsia="宋体" w:cs="Times New Roman"/>
                <w:kern w:val="0"/>
                <w:sz w:val="21"/>
                <w:szCs w:val="21"/>
                <w:highlight w:val="none"/>
                <w:lang w:val="en-US" w:eastAsia="zh-CN"/>
              </w:rPr>
              <w:t>L/人·天计</w:t>
            </w:r>
            <w:r>
              <w:rPr>
                <w:rFonts w:hint="eastAsia" w:cs="Times New Roman"/>
                <w:kern w:val="0"/>
                <w:sz w:val="21"/>
                <w:szCs w:val="21"/>
                <w:highlight w:val="none"/>
                <w:lang w:val="en-US" w:eastAsia="zh-CN"/>
              </w:rPr>
              <w:t>）</w:t>
            </w:r>
            <w:r>
              <w:rPr>
                <w:rFonts w:hint="default"/>
              </w:rPr>
              <w:t>，年工作</w:t>
            </w:r>
            <w:r>
              <w:rPr>
                <w:rFonts w:hint="eastAsia"/>
                <w:lang w:val="en-US" w:eastAsia="zh-CN"/>
              </w:rPr>
              <w:t>25</w:t>
            </w:r>
            <w:r>
              <w:rPr>
                <w:rFonts w:hint="default"/>
              </w:rPr>
              <w:t>0天，</w:t>
            </w:r>
            <w:r>
              <w:rPr>
                <w:rFonts w:hint="default"/>
                <w:lang w:val="en-US" w:eastAsia="zh-CN"/>
              </w:rPr>
              <w:t>年</w:t>
            </w:r>
            <w:r>
              <w:rPr>
                <w:rFonts w:hint="default"/>
              </w:rPr>
              <w:t>用水量为</w:t>
            </w:r>
            <w:r>
              <w:rPr>
                <w:rFonts w:hint="eastAsia"/>
                <w:highlight w:val="none"/>
                <w:lang w:val="en-US" w:eastAsia="zh-CN"/>
              </w:rPr>
              <w:t>2000</w:t>
            </w:r>
            <w:r>
              <w:rPr>
                <w:rFonts w:hint="default"/>
              </w:rPr>
              <w:t>t/a，排污系数以0.8计，经使用消耗部分后，排放生活污水</w:t>
            </w:r>
            <w:r>
              <w:rPr>
                <w:rFonts w:hint="eastAsia"/>
                <w:highlight w:val="none"/>
                <w:lang w:val="en-US" w:eastAsia="zh-CN"/>
              </w:rPr>
              <w:t>1600</w:t>
            </w:r>
            <w:r>
              <w:rPr>
                <w:rFonts w:hint="default"/>
              </w:rPr>
              <w:t>t/a</w:t>
            </w:r>
            <w:r>
              <w:rPr>
                <w:rFonts w:hint="default"/>
                <w:lang w:eastAsia="zh-CN"/>
              </w:rPr>
              <w:t>，</w:t>
            </w:r>
            <w:r>
              <w:rPr>
                <w:rFonts w:hint="default"/>
              </w:rPr>
              <w:t>经市政污水管网排入园区污水处理厂进行达标处理。</w:t>
            </w: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eastAsia"/>
                <w:b/>
                <w:bCs/>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表</w:t>
            </w:r>
            <w:r>
              <w:rPr>
                <w:rFonts w:hint="default"/>
                <w:b/>
                <w:bCs/>
                <w:color w:val="000000" w:themeColor="text1"/>
                <w:lang w:val="en-US" w:eastAsia="zh-CN"/>
                <w14:textFill>
                  <w14:solidFill>
                    <w14:schemeClr w14:val="tx1"/>
                  </w14:solidFill>
                </w14:textFill>
              </w:rPr>
              <w:t>4-</w:t>
            </w:r>
            <w:r>
              <w:rPr>
                <w:rFonts w:hint="eastAsia"/>
                <w:b/>
                <w:bCs/>
                <w:color w:val="000000" w:themeColor="text1"/>
                <w:lang w:val="en-US" w:eastAsia="zh-CN"/>
                <w14:textFill>
                  <w14:solidFill>
                    <w14:schemeClr w14:val="tx1"/>
                  </w14:solidFill>
                </w14:textFill>
              </w:rPr>
              <w:t xml:space="preserve">12 </w:t>
            </w:r>
            <w:r>
              <w:rPr>
                <w:rFonts w:hint="default"/>
                <w:b/>
                <w:bCs/>
                <w:color w:val="000000" w:themeColor="text1"/>
                <w:lang w:val="en-US" w:eastAsia="zh-CN"/>
                <w14:textFill>
                  <w14:solidFill>
                    <w14:schemeClr w14:val="tx1"/>
                  </w14:solidFill>
                </w14:textFill>
              </w:rPr>
              <w:t xml:space="preserve"> 本</w:t>
            </w:r>
            <w:r>
              <w:rPr>
                <w:rFonts w:hint="default"/>
                <w:b/>
                <w:bCs/>
                <w:color w:val="000000" w:themeColor="text1"/>
                <w14:textFill>
                  <w14:solidFill>
                    <w14:schemeClr w14:val="tx1"/>
                  </w14:solidFill>
                </w14:textFill>
              </w:rPr>
              <w:t>项目废水产生及排放一览表</w:t>
            </w:r>
          </w:p>
          <w:tbl>
            <w:tblPr>
              <w:tblStyle w:val="17"/>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547"/>
              <w:gridCol w:w="758"/>
              <w:gridCol w:w="776"/>
              <w:gridCol w:w="67"/>
              <w:gridCol w:w="834"/>
              <w:gridCol w:w="687"/>
              <w:gridCol w:w="706"/>
              <w:gridCol w:w="177"/>
              <w:gridCol w:w="793"/>
              <w:gridCol w:w="54"/>
              <w:gridCol w:w="75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restart"/>
                  <w:tcBorders>
                    <w:top w:val="single" w:color="auto" w:sz="12" w:space="0"/>
                    <w:left w:val="nil"/>
                  </w:tcBorders>
                  <w:vAlign w:val="center"/>
                </w:tcPr>
                <w:p>
                  <w:pPr>
                    <w:adjustRightInd w:val="0"/>
                    <w:snapToGrid w:val="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废水来源</w:t>
                  </w:r>
                </w:p>
              </w:tc>
              <w:tc>
                <w:tcPr>
                  <w:tcW w:w="358" w:type="pct"/>
                  <w:vMerge w:val="restart"/>
                  <w:tcBorders>
                    <w:top w:val="single" w:color="auto" w:sz="12" w:space="0"/>
                  </w:tcBorders>
                  <w:vAlign w:val="center"/>
                </w:tcPr>
                <w:p>
                  <w:pPr>
                    <w:adjustRightInd w:val="0"/>
                    <w:snapToGrid w:val="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废水量</w:t>
                  </w:r>
                </w:p>
              </w:tc>
              <w:tc>
                <w:tcPr>
                  <w:tcW w:w="496" w:type="pct"/>
                  <w:vMerge w:val="restart"/>
                  <w:tcBorders>
                    <w:top w:val="single" w:color="auto" w:sz="12" w:space="0"/>
                  </w:tcBorders>
                  <w:vAlign w:val="center"/>
                </w:tcPr>
                <w:p>
                  <w:pPr>
                    <w:adjustRightInd w:val="0"/>
                    <w:snapToGrid w:val="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污染物名称</w:t>
                  </w:r>
                </w:p>
              </w:tc>
              <w:tc>
                <w:tcPr>
                  <w:tcW w:w="1098" w:type="pct"/>
                  <w:gridSpan w:val="3"/>
                  <w:tcBorders>
                    <w:top w:val="single" w:color="auto" w:sz="12" w:space="0"/>
                  </w:tcBorders>
                  <w:vAlign w:val="center"/>
                </w:tcPr>
                <w:p>
                  <w:pPr>
                    <w:adjustRightInd w:val="0"/>
                    <w:snapToGrid w:val="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污染物产生量</w:t>
                  </w:r>
                </w:p>
              </w:tc>
              <w:tc>
                <w:tcPr>
                  <w:tcW w:w="450" w:type="pct"/>
                  <w:vMerge w:val="restart"/>
                  <w:tcBorders>
                    <w:top w:val="single" w:color="auto" w:sz="12" w:space="0"/>
                  </w:tcBorders>
                  <w:vAlign w:val="center"/>
                </w:tcPr>
                <w:p>
                  <w:pPr>
                    <w:adjustRightInd w:val="0"/>
                    <w:snapToGrid w:val="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治理措施</w:t>
                  </w:r>
                </w:p>
              </w:tc>
              <w:tc>
                <w:tcPr>
                  <w:tcW w:w="1132" w:type="pct"/>
                  <w:gridSpan w:val="4"/>
                  <w:tcBorders>
                    <w:top w:val="single" w:color="auto" w:sz="12" w:space="0"/>
                  </w:tcBorders>
                  <w:vAlign w:val="center"/>
                </w:tcPr>
                <w:p>
                  <w:pPr>
                    <w:adjustRightInd w:val="0"/>
                    <w:snapToGrid w:val="0"/>
                    <w:jc w:val="center"/>
                    <w:rPr>
                      <w:rFonts w:hint="default"/>
                      <w:b/>
                      <w:bCs/>
                      <w:color w:val="000000" w:themeColor="text1"/>
                      <w:sz w:val="18"/>
                      <w:szCs w:val="18"/>
                      <w14:textFill>
                        <w14:solidFill>
                          <w14:schemeClr w14:val="tx1"/>
                        </w14:solidFill>
                      </w14:textFill>
                    </w:rPr>
                  </w:pPr>
                  <w:r>
                    <w:rPr>
                      <w:rFonts w:hint="default"/>
                      <w:b/>
                      <w:bCs/>
                      <w:color w:val="000000" w:themeColor="text1"/>
                      <w:sz w:val="18"/>
                      <w:szCs w:val="18"/>
                      <w14:textFill>
                        <w14:solidFill>
                          <w14:schemeClr w14:val="tx1"/>
                        </w14:solidFill>
                      </w14:textFill>
                    </w:rPr>
                    <w:t>污染物排放量</w:t>
                  </w:r>
                </w:p>
              </w:tc>
              <w:tc>
                <w:tcPr>
                  <w:tcW w:w="496" w:type="pct"/>
                  <w:vMerge w:val="restart"/>
                  <w:tcBorders>
                    <w:top w:val="single" w:color="auto" w:sz="12" w:space="0"/>
                  </w:tcBorders>
                  <w:vAlign w:val="center"/>
                </w:tcPr>
                <w:p>
                  <w:pPr>
                    <w:adjustRightInd w:val="0"/>
                    <w:snapToGrid w:val="0"/>
                    <w:jc w:val="center"/>
                    <w:rPr>
                      <w:rFonts w:hint="default"/>
                      <w:b/>
                      <w:bCs/>
                      <w:color w:val="000000" w:themeColor="text1"/>
                      <w:sz w:val="18"/>
                      <w:szCs w:val="18"/>
                      <w:lang w:eastAsia="zh-CN"/>
                      <w14:textFill>
                        <w14:solidFill>
                          <w14:schemeClr w14:val="tx1"/>
                        </w14:solidFill>
                      </w14:textFill>
                    </w:rPr>
                  </w:pPr>
                  <w:r>
                    <w:rPr>
                      <w:rFonts w:hint="default"/>
                      <w:b/>
                      <w:bCs/>
                      <w:color w:val="000000" w:themeColor="text1"/>
                      <w:sz w:val="18"/>
                      <w:szCs w:val="18"/>
                      <w14:textFill>
                        <w14:solidFill>
                          <w14:schemeClr w14:val="tx1"/>
                        </w14:solidFill>
                      </w14:textFill>
                    </w:rPr>
                    <w:t>接管标准</w:t>
                  </w:r>
                  <w:r>
                    <w:rPr>
                      <w:rFonts w:hint="default"/>
                      <w:b/>
                      <w:bCs/>
                      <w:color w:val="000000" w:themeColor="text1"/>
                      <w:sz w:val="18"/>
                      <w:szCs w:val="18"/>
                      <w:lang w:val="en-US" w:eastAsia="zh-CN"/>
                      <w14:textFill>
                        <w14:solidFill>
                          <w14:schemeClr w14:val="tx1"/>
                        </w14:solidFill>
                      </w14:textFill>
                    </w:rPr>
                    <w:t>(</w:t>
                  </w:r>
                  <w:r>
                    <w:rPr>
                      <w:rFonts w:hint="default"/>
                      <w:b/>
                      <w:bCs/>
                      <w:color w:val="000000" w:themeColor="text1"/>
                      <w:sz w:val="18"/>
                      <w:szCs w:val="18"/>
                      <w14:textFill>
                        <w14:solidFill>
                          <w14:schemeClr w14:val="tx1"/>
                        </w14:solidFill>
                      </w14:textFill>
                    </w:rPr>
                    <w:t>mg/L</w:t>
                  </w:r>
                  <w:r>
                    <w:rPr>
                      <w:rFonts w:hint="default"/>
                      <w:b/>
                      <w:bCs/>
                      <w:color w:val="000000" w:themeColor="text1"/>
                      <w:sz w:val="18"/>
                      <w:szCs w:val="18"/>
                      <w:lang w:val="en-US" w:eastAsia="zh-CN"/>
                      <w14:textFill>
                        <w14:solidFill>
                          <w14:schemeClr w14:val="tx1"/>
                        </w14:solidFill>
                      </w14:textFill>
                    </w:rPr>
                    <w:t>)</w:t>
                  </w:r>
                </w:p>
              </w:tc>
              <w:tc>
                <w:tcPr>
                  <w:tcW w:w="499" w:type="pct"/>
                  <w:vMerge w:val="restart"/>
                  <w:tcBorders>
                    <w:top w:val="single" w:color="auto" w:sz="12" w:space="0"/>
                    <w:right w:val="nil"/>
                  </w:tcBorders>
                  <w:vAlign w:val="center"/>
                </w:tcPr>
                <w:p>
                  <w:pPr>
                    <w:keepNext w:val="0"/>
                    <w:keepLines w:val="0"/>
                    <w:pageBreakBefore w:val="0"/>
                    <w:kinsoku/>
                    <w:wordWrap/>
                    <w:overflowPunct/>
                    <w:topLinePunct w:val="0"/>
                    <w:bidi w:val="0"/>
                    <w:adjustRightInd/>
                    <w:snapToGrid/>
                    <w:ind w:left="-113" w:right="-113"/>
                    <w:jc w:val="center"/>
                    <w:rPr>
                      <w:rFonts w:hint="default"/>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排放方式与去向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adjustRightInd w:val="0"/>
                    <w:snapToGrid w:val="0"/>
                    <w:jc w:val="center"/>
                    <w:rPr>
                      <w:rFonts w:hint="default"/>
                      <w:color w:val="000000" w:themeColor="text1"/>
                      <w:sz w:val="18"/>
                      <w:szCs w:val="18"/>
                      <w14:textFill>
                        <w14:solidFill>
                          <w14:schemeClr w14:val="tx1"/>
                        </w14:solidFill>
                      </w14:textFill>
                    </w:rPr>
                  </w:pPr>
                </w:p>
              </w:tc>
              <w:tc>
                <w:tcPr>
                  <w:tcW w:w="358" w:type="pct"/>
                  <w:vMerge w:val="continue"/>
                  <w:vAlign w:val="center"/>
                </w:tcPr>
                <w:p>
                  <w:pPr>
                    <w:adjustRightInd w:val="0"/>
                    <w:snapToGrid w:val="0"/>
                    <w:jc w:val="center"/>
                    <w:rPr>
                      <w:rFonts w:hint="default"/>
                      <w:color w:val="000000" w:themeColor="text1"/>
                      <w:sz w:val="18"/>
                      <w:szCs w:val="18"/>
                      <w14:textFill>
                        <w14:solidFill>
                          <w14:schemeClr w14:val="tx1"/>
                        </w14:solidFill>
                      </w14:textFill>
                    </w:rPr>
                  </w:pPr>
                </w:p>
              </w:tc>
              <w:tc>
                <w:tcPr>
                  <w:tcW w:w="496" w:type="pct"/>
                  <w:vMerge w:val="continue"/>
                  <w:vAlign w:val="center"/>
                </w:tcPr>
                <w:p>
                  <w:pPr>
                    <w:adjustRightInd w:val="0"/>
                    <w:snapToGrid w:val="0"/>
                    <w:jc w:val="center"/>
                    <w:rPr>
                      <w:rFonts w:hint="default"/>
                      <w:color w:val="000000" w:themeColor="text1"/>
                      <w:sz w:val="18"/>
                      <w:szCs w:val="18"/>
                      <w14:textFill>
                        <w14:solidFill>
                          <w14:schemeClr w14:val="tx1"/>
                        </w14:solidFill>
                      </w14:textFill>
                    </w:rPr>
                  </w:pPr>
                </w:p>
              </w:tc>
              <w:tc>
                <w:tcPr>
                  <w:tcW w:w="552" w:type="pct"/>
                  <w:gridSpan w:val="2"/>
                  <w:vAlign w:val="center"/>
                </w:tcPr>
                <w:p>
                  <w:pPr>
                    <w:adjustRightInd w:val="0"/>
                    <w:snapToGrid w:val="0"/>
                    <w:jc w:val="center"/>
                    <w:rPr>
                      <w:rFonts w:hint="default"/>
                      <w:b/>
                      <w:bCs/>
                      <w:color w:val="000000" w:themeColor="text1"/>
                      <w:sz w:val="18"/>
                      <w:szCs w:val="18"/>
                      <w:lang w:eastAsia="zh-CN"/>
                      <w14:textFill>
                        <w14:solidFill>
                          <w14:schemeClr w14:val="tx1"/>
                        </w14:solidFill>
                      </w14:textFill>
                    </w:rPr>
                  </w:pPr>
                  <w:r>
                    <w:rPr>
                      <w:rFonts w:hint="default"/>
                      <w:b/>
                      <w:bCs/>
                      <w:color w:val="000000" w:themeColor="text1"/>
                      <w:sz w:val="18"/>
                      <w:szCs w:val="18"/>
                      <w14:textFill>
                        <w14:solidFill>
                          <w14:schemeClr w14:val="tx1"/>
                        </w14:solidFill>
                      </w14:textFill>
                    </w:rPr>
                    <w:t>浓度</w:t>
                  </w:r>
                  <w:r>
                    <w:rPr>
                      <w:rFonts w:hint="default"/>
                      <w:b/>
                      <w:bCs/>
                      <w:color w:val="000000" w:themeColor="text1"/>
                      <w:sz w:val="18"/>
                      <w:szCs w:val="18"/>
                      <w:lang w:val="en-US" w:eastAsia="zh-CN"/>
                      <w14:textFill>
                        <w14:solidFill>
                          <w14:schemeClr w14:val="tx1"/>
                        </w14:solidFill>
                      </w14:textFill>
                    </w:rPr>
                    <w:t>(</w:t>
                  </w:r>
                  <w:r>
                    <w:rPr>
                      <w:rFonts w:hint="default"/>
                      <w:b/>
                      <w:bCs/>
                      <w:color w:val="000000" w:themeColor="text1"/>
                      <w:sz w:val="18"/>
                      <w:szCs w:val="18"/>
                      <w14:textFill>
                        <w14:solidFill>
                          <w14:schemeClr w14:val="tx1"/>
                        </w14:solidFill>
                      </w14:textFill>
                    </w:rPr>
                    <w:t>mg/L</w:t>
                  </w:r>
                  <w:r>
                    <w:rPr>
                      <w:rFonts w:hint="default"/>
                      <w:b/>
                      <w:bCs/>
                      <w:color w:val="000000" w:themeColor="text1"/>
                      <w:sz w:val="18"/>
                      <w:szCs w:val="18"/>
                      <w:lang w:val="en-US" w:eastAsia="zh-CN"/>
                      <w14:textFill>
                        <w14:solidFill>
                          <w14:schemeClr w14:val="tx1"/>
                        </w14:solidFill>
                      </w14:textFill>
                    </w:rPr>
                    <w:t>)</w:t>
                  </w:r>
                </w:p>
              </w:tc>
              <w:tc>
                <w:tcPr>
                  <w:tcW w:w="546" w:type="pct"/>
                  <w:vAlign w:val="center"/>
                </w:tcPr>
                <w:p>
                  <w:pPr>
                    <w:adjustRightInd w:val="0"/>
                    <w:snapToGrid w:val="0"/>
                    <w:jc w:val="center"/>
                    <w:rPr>
                      <w:rFonts w:hint="default"/>
                      <w:b/>
                      <w:bCs/>
                      <w:color w:val="000000" w:themeColor="text1"/>
                      <w:sz w:val="18"/>
                      <w:szCs w:val="18"/>
                      <w:lang w:eastAsia="zh-CN"/>
                      <w14:textFill>
                        <w14:solidFill>
                          <w14:schemeClr w14:val="tx1"/>
                        </w14:solidFill>
                      </w14:textFill>
                    </w:rPr>
                  </w:pPr>
                  <w:r>
                    <w:rPr>
                      <w:rFonts w:hint="default"/>
                      <w:b/>
                      <w:bCs/>
                      <w:color w:val="000000" w:themeColor="text1"/>
                      <w:sz w:val="18"/>
                      <w:szCs w:val="18"/>
                      <w14:textFill>
                        <w14:solidFill>
                          <w14:schemeClr w14:val="tx1"/>
                        </w14:solidFill>
                      </w14:textFill>
                    </w:rPr>
                    <w:t>产生量</w:t>
                  </w:r>
                  <w:r>
                    <w:rPr>
                      <w:rFonts w:hint="default"/>
                      <w:b/>
                      <w:bCs/>
                      <w:color w:val="000000" w:themeColor="text1"/>
                      <w:sz w:val="18"/>
                      <w:szCs w:val="18"/>
                      <w:lang w:val="en-US" w:eastAsia="zh-CN"/>
                      <w14:textFill>
                        <w14:solidFill>
                          <w14:schemeClr w14:val="tx1"/>
                        </w14:solidFill>
                      </w14:textFill>
                    </w:rPr>
                    <w:t>(</w:t>
                  </w:r>
                  <w:r>
                    <w:rPr>
                      <w:rFonts w:hint="default"/>
                      <w:b/>
                      <w:bCs/>
                      <w:color w:val="000000" w:themeColor="text1"/>
                      <w:sz w:val="18"/>
                      <w:szCs w:val="18"/>
                      <w14:textFill>
                        <w14:solidFill>
                          <w14:schemeClr w14:val="tx1"/>
                        </w14:solidFill>
                      </w14:textFill>
                    </w:rPr>
                    <w:t>t/a</w:t>
                  </w:r>
                  <w:r>
                    <w:rPr>
                      <w:rFonts w:hint="default"/>
                      <w:b/>
                      <w:bCs/>
                      <w:color w:val="000000" w:themeColor="text1"/>
                      <w:sz w:val="18"/>
                      <w:szCs w:val="18"/>
                      <w:lang w:val="en-US" w:eastAsia="zh-CN"/>
                      <w14:textFill>
                        <w14:solidFill>
                          <w14:schemeClr w14:val="tx1"/>
                        </w14:solidFill>
                      </w14:textFill>
                    </w:rPr>
                    <w:t>)</w:t>
                  </w:r>
                </w:p>
              </w:tc>
              <w:tc>
                <w:tcPr>
                  <w:tcW w:w="450" w:type="pct"/>
                  <w:vMerge w:val="continue"/>
                  <w:vAlign w:val="center"/>
                </w:tcPr>
                <w:p>
                  <w:pPr>
                    <w:adjustRightInd w:val="0"/>
                    <w:snapToGrid w:val="0"/>
                    <w:jc w:val="center"/>
                    <w:rPr>
                      <w:rFonts w:hint="default"/>
                      <w:color w:val="000000" w:themeColor="text1"/>
                      <w:sz w:val="18"/>
                      <w:szCs w:val="18"/>
                      <w14:textFill>
                        <w14:solidFill>
                          <w14:schemeClr w14:val="tx1"/>
                        </w14:solidFill>
                      </w14:textFill>
                    </w:rPr>
                  </w:pPr>
                </w:p>
              </w:tc>
              <w:tc>
                <w:tcPr>
                  <w:tcW w:w="578" w:type="pct"/>
                  <w:gridSpan w:val="2"/>
                  <w:vAlign w:val="center"/>
                </w:tcPr>
                <w:p>
                  <w:pPr>
                    <w:adjustRightInd w:val="0"/>
                    <w:snapToGrid w:val="0"/>
                    <w:jc w:val="center"/>
                    <w:rPr>
                      <w:rFonts w:hint="default"/>
                      <w:b/>
                      <w:bCs/>
                      <w:color w:val="000000" w:themeColor="text1"/>
                      <w:sz w:val="18"/>
                      <w:szCs w:val="18"/>
                      <w:lang w:eastAsia="zh-CN"/>
                      <w14:textFill>
                        <w14:solidFill>
                          <w14:schemeClr w14:val="tx1"/>
                        </w14:solidFill>
                      </w14:textFill>
                    </w:rPr>
                  </w:pPr>
                  <w:r>
                    <w:rPr>
                      <w:rFonts w:hint="default"/>
                      <w:b/>
                      <w:bCs/>
                      <w:color w:val="000000" w:themeColor="text1"/>
                      <w:sz w:val="18"/>
                      <w:szCs w:val="18"/>
                      <w14:textFill>
                        <w14:solidFill>
                          <w14:schemeClr w14:val="tx1"/>
                        </w14:solidFill>
                      </w14:textFill>
                    </w:rPr>
                    <w:t>浓度</w:t>
                  </w:r>
                  <w:r>
                    <w:rPr>
                      <w:rFonts w:hint="default"/>
                      <w:b/>
                      <w:bCs/>
                      <w:color w:val="000000" w:themeColor="text1"/>
                      <w:sz w:val="18"/>
                      <w:szCs w:val="18"/>
                      <w:lang w:val="en-US" w:eastAsia="zh-CN"/>
                      <w14:textFill>
                        <w14:solidFill>
                          <w14:schemeClr w14:val="tx1"/>
                        </w14:solidFill>
                      </w14:textFill>
                    </w:rPr>
                    <w:t>(</w:t>
                  </w:r>
                  <w:r>
                    <w:rPr>
                      <w:rFonts w:hint="default"/>
                      <w:b/>
                      <w:bCs/>
                      <w:color w:val="000000" w:themeColor="text1"/>
                      <w:sz w:val="18"/>
                      <w:szCs w:val="18"/>
                      <w14:textFill>
                        <w14:solidFill>
                          <w14:schemeClr w14:val="tx1"/>
                        </w14:solidFill>
                      </w14:textFill>
                    </w:rPr>
                    <w:t>mg/L</w:t>
                  </w:r>
                  <w:r>
                    <w:rPr>
                      <w:rFonts w:hint="default"/>
                      <w:b/>
                      <w:bCs/>
                      <w:color w:val="000000" w:themeColor="text1"/>
                      <w:sz w:val="18"/>
                      <w:szCs w:val="18"/>
                      <w:lang w:val="en-US" w:eastAsia="zh-CN"/>
                      <w14:textFill>
                        <w14:solidFill>
                          <w14:schemeClr w14:val="tx1"/>
                        </w14:solidFill>
                      </w14:textFill>
                    </w:rPr>
                    <w:t>)</w:t>
                  </w:r>
                </w:p>
              </w:tc>
              <w:tc>
                <w:tcPr>
                  <w:tcW w:w="554" w:type="pct"/>
                  <w:gridSpan w:val="2"/>
                  <w:vAlign w:val="center"/>
                </w:tcPr>
                <w:p>
                  <w:pPr>
                    <w:adjustRightInd w:val="0"/>
                    <w:snapToGrid w:val="0"/>
                    <w:jc w:val="center"/>
                    <w:rPr>
                      <w:rFonts w:hint="default"/>
                      <w:b/>
                      <w:bCs/>
                      <w:color w:val="000000" w:themeColor="text1"/>
                      <w:sz w:val="18"/>
                      <w:szCs w:val="18"/>
                      <w:lang w:eastAsia="zh-CN"/>
                      <w14:textFill>
                        <w14:solidFill>
                          <w14:schemeClr w14:val="tx1"/>
                        </w14:solidFill>
                      </w14:textFill>
                    </w:rPr>
                  </w:pPr>
                  <w:r>
                    <w:rPr>
                      <w:rFonts w:hint="default"/>
                      <w:b/>
                      <w:bCs/>
                      <w:color w:val="000000" w:themeColor="text1"/>
                      <w:sz w:val="18"/>
                      <w:szCs w:val="18"/>
                      <w14:textFill>
                        <w14:solidFill>
                          <w14:schemeClr w14:val="tx1"/>
                        </w14:solidFill>
                      </w14:textFill>
                    </w:rPr>
                    <w:t>产生量</w:t>
                  </w:r>
                  <w:r>
                    <w:rPr>
                      <w:rFonts w:hint="default"/>
                      <w:b/>
                      <w:bCs/>
                      <w:color w:val="000000" w:themeColor="text1"/>
                      <w:sz w:val="18"/>
                      <w:szCs w:val="18"/>
                      <w:lang w:val="en-US" w:eastAsia="zh-CN"/>
                      <w14:textFill>
                        <w14:solidFill>
                          <w14:schemeClr w14:val="tx1"/>
                        </w14:solidFill>
                      </w14:textFill>
                    </w:rPr>
                    <w:t>(</w:t>
                  </w:r>
                  <w:r>
                    <w:rPr>
                      <w:rFonts w:hint="default"/>
                      <w:b/>
                      <w:bCs/>
                      <w:color w:val="000000" w:themeColor="text1"/>
                      <w:sz w:val="18"/>
                      <w:szCs w:val="18"/>
                      <w14:textFill>
                        <w14:solidFill>
                          <w14:schemeClr w14:val="tx1"/>
                        </w14:solidFill>
                      </w14:textFill>
                    </w:rPr>
                    <w:t>t/a</w:t>
                  </w:r>
                  <w:r>
                    <w:rPr>
                      <w:rFonts w:hint="default"/>
                      <w:b/>
                      <w:bCs/>
                      <w:color w:val="000000" w:themeColor="text1"/>
                      <w:sz w:val="18"/>
                      <w:szCs w:val="18"/>
                      <w:lang w:val="en-US" w:eastAsia="zh-CN"/>
                      <w14:textFill>
                        <w14:solidFill>
                          <w14:schemeClr w14:val="tx1"/>
                        </w14:solidFill>
                      </w14:textFill>
                    </w:rPr>
                    <w:t>)</w:t>
                  </w:r>
                </w:p>
              </w:tc>
              <w:tc>
                <w:tcPr>
                  <w:tcW w:w="496" w:type="pct"/>
                  <w:vMerge w:val="continue"/>
                  <w:vAlign w:val="center"/>
                </w:tcPr>
                <w:p>
                  <w:pPr>
                    <w:adjustRightInd w:val="0"/>
                    <w:snapToGrid w:val="0"/>
                    <w:jc w:val="center"/>
                    <w:rPr>
                      <w:rFonts w:hint="default"/>
                      <w:color w:val="000000" w:themeColor="text1"/>
                      <w:sz w:val="18"/>
                      <w:szCs w:val="18"/>
                      <w14:textFill>
                        <w14:solidFill>
                          <w14:schemeClr w14:val="tx1"/>
                        </w14:solidFill>
                      </w14:textFill>
                    </w:rPr>
                  </w:pPr>
                </w:p>
              </w:tc>
              <w:tc>
                <w:tcPr>
                  <w:tcW w:w="499" w:type="pct"/>
                  <w:vMerge w:val="continue"/>
                  <w:tcBorders>
                    <w:right w:val="nil"/>
                  </w:tcBorders>
                  <w:vAlign w:val="center"/>
                </w:tcPr>
                <w:p>
                  <w:pPr>
                    <w:adjustRightInd w:val="0"/>
                    <w:snapToGrid w:val="0"/>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restart"/>
                  <w:tcBorders>
                    <w:left w:val="nil"/>
                  </w:tcBorders>
                  <w:vAlign w:val="center"/>
                </w:tcPr>
                <w:p>
                  <w:pPr>
                    <w:snapToGrid w:val="0"/>
                    <w:spacing w:line="240" w:lineRule="auto"/>
                    <w:jc w:val="center"/>
                    <w:rPr>
                      <w:rFonts w:hint="default"/>
                      <w:color w:val="auto"/>
                      <w:sz w:val="18"/>
                      <w:szCs w:val="18"/>
                    </w:rPr>
                  </w:pPr>
                  <w:r>
                    <w:rPr>
                      <w:rFonts w:hint="default"/>
                      <w:color w:val="auto"/>
                      <w:sz w:val="18"/>
                      <w:szCs w:val="18"/>
                    </w:rPr>
                    <w:t>生活污水</w:t>
                  </w:r>
                </w:p>
              </w:tc>
              <w:tc>
                <w:tcPr>
                  <w:tcW w:w="358" w:type="pct"/>
                  <w:vMerge w:val="restart"/>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16</w:t>
                  </w:r>
                  <w:r>
                    <w:rPr>
                      <w:rFonts w:hint="default"/>
                      <w:color w:val="auto"/>
                      <w:sz w:val="18"/>
                      <w:szCs w:val="18"/>
                      <w:lang w:val="en-US" w:eastAsia="zh-CN"/>
                    </w:rPr>
                    <w:t>00</w:t>
                  </w:r>
                </w:p>
              </w:tc>
              <w:tc>
                <w:tcPr>
                  <w:tcW w:w="496" w:type="pct"/>
                  <w:vAlign w:val="center"/>
                </w:tcPr>
                <w:p>
                  <w:pPr>
                    <w:keepNext w:val="0"/>
                    <w:keepLines w:val="0"/>
                    <w:pageBreakBefore w:val="0"/>
                    <w:kinsoku/>
                    <w:wordWrap/>
                    <w:overflowPunct/>
                    <w:topLinePunct w:val="0"/>
                    <w:bidi w:val="0"/>
                    <w:adjustRightInd/>
                    <w:snapToGrid/>
                    <w:jc w:val="center"/>
                    <w:rPr>
                      <w:rFonts w:hint="default"/>
                      <w:color w:val="auto"/>
                      <w:sz w:val="18"/>
                      <w:szCs w:val="18"/>
                    </w:rPr>
                  </w:pPr>
                  <w:r>
                    <w:rPr>
                      <w:rFonts w:hint="default" w:ascii="Times New Roman" w:hAnsi="Times New Roman" w:eastAsia="宋体" w:cs="Times New Roman"/>
                      <w:color w:val="auto"/>
                      <w:sz w:val="18"/>
                      <w:szCs w:val="18"/>
                      <w:highlight w:val="none"/>
                    </w:rPr>
                    <w:t>pH</w:t>
                  </w:r>
                </w:p>
              </w:tc>
              <w:tc>
                <w:tcPr>
                  <w:tcW w:w="1098" w:type="pct"/>
                  <w:gridSpan w:val="3"/>
                  <w:vAlign w:val="center"/>
                </w:tcPr>
                <w:p>
                  <w:pPr>
                    <w:keepNext w:val="0"/>
                    <w:keepLines w:val="0"/>
                    <w:pageBreakBefore w:val="0"/>
                    <w:kinsoku/>
                    <w:wordWrap/>
                    <w:overflowPunct/>
                    <w:topLinePunct w:val="0"/>
                    <w:bidi w:val="0"/>
                    <w:adjustRightInd/>
                    <w:snapToGrid/>
                    <w:jc w:val="center"/>
                    <w:rPr>
                      <w:rFonts w:hint="eastAsia"/>
                      <w:color w:val="auto"/>
                      <w:sz w:val="18"/>
                      <w:szCs w:val="18"/>
                      <w:lang w:val="en-US" w:eastAsia="zh-CN"/>
                    </w:rPr>
                  </w:pPr>
                  <w:r>
                    <w:rPr>
                      <w:rFonts w:hint="default" w:ascii="Times New Roman" w:hAnsi="Times New Roman" w:eastAsia="宋体" w:cs="Times New Roman"/>
                      <w:color w:val="auto"/>
                      <w:sz w:val="18"/>
                      <w:szCs w:val="18"/>
                      <w:highlight w:val="none"/>
                    </w:rPr>
                    <w:t>6~9</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无量纲</w:t>
                  </w:r>
                  <w:r>
                    <w:rPr>
                      <w:rFonts w:hint="eastAsia" w:ascii="Times New Roman" w:hAnsi="Times New Roman" w:eastAsia="宋体" w:cs="Times New Roman"/>
                      <w:color w:val="auto"/>
                      <w:sz w:val="18"/>
                      <w:szCs w:val="18"/>
                      <w:highlight w:val="none"/>
                      <w:lang w:eastAsia="zh-CN"/>
                    </w:rPr>
                    <w:t>）</w:t>
                  </w:r>
                </w:p>
              </w:tc>
              <w:tc>
                <w:tcPr>
                  <w:tcW w:w="450" w:type="pct"/>
                  <w:vMerge w:val="restart"/>
                  <w:vAlign w:val="center"/>
                </w:tcPr>
                <w:p>
                  <w:pPr>
                    <w:snapToGrid w:val="0"/>
                    <w:spacing w:line="240" w:lineRule="auto"/>
                    <w:jc w:val="center"/>
                    <w:rPr>
                      <w:rFonts w:hint="default"/>
                      <w:color w:val="auto"/>
                      <w:sz w:val="18"/>
                      <w:szCs w:val="18"/>
                    </w:rPr>
                  </w:pPr>
                  <w:r>
                    <w:rPr>
                      <w:rFonts w:hint="default"/>
                      <w:color w:val="auto"/>
                      <w:sz w:val="18"/>
                      <w:szCs w:val="18"/>
                    </w:rPr>
                    <w:t>接管市政污水管网</w:t>
                  </w:r>
                </w:p>
              </w:tc>
              <w:tc>
                <w:tcPr>
                  <w:tcW w:w="1629" w:type="pct"/>
                  <w:gridSpan w:val="5"/>
                  <w:vAlign w:val="center"/>
                </w:tcPr>
                <w:p>
                  <w:pPr>
                    <w:snapToGrid w:val="0"/>
                    <w:spacing w:line="240" w:lineRule="auto"/>
                    <w:ind w:firstLine="90" w:firstLineChars="50"/>
                    <w:jc w:val="center"/>
                    <w:rPr>
                      <w:rFonts w:hint="default"/>
                      <w:color w:val="auto"/>
                      <w:sz w:val="18"/>
                      <w:szCs w:val="18"/>
                    </w:rPr>
                  </w:pPr>
                  <w:r>
                    <w:rPr>
                      <w:rFonts w:hint="default" w:ascii="Times New Roman" w:hAnsi="Times New Roman" w:eastAsia="宋体" w:cs="Times New Roman"/>
                      <w:color w:val="auto"/>
                      <w:sz w:val="18"/>
                      <w:szCs w:val="18"/>
                      <w:highlight w:val="none"/>
                    </w:rPr>
                    <w:t>6~9</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无量纲</w:t>
                  </w:r>
                  <w:r>
                    <w:rPr>
                      <w:rFonts w:hint="eastAsia" w:ascii="Times New Roman" w:hAnsi="Times New Roman" w:eastAsia="宋体" w:cs="Times New Roman"/>
                      <w:color w:val="auto"/>
                      <w:sz w:val="18"/>
                      <w:szCs w:val="18"/>
                      <w:highlight w:val="none"/>
                      <w:lang w:eastAsia="zh-CN"/>
                    </w:rPr>
                    <w:t>）</w:t>
                  </w:r>
                </w:p>
              </w:tc>
              <w:tc>
                <w:tcPr>
                  <w:tcW w:w="499" w:type="pct"/>
                  <w:vMerge w:val="restart"/>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园区污水处理厂处理后排入吴淞江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snapToGrid w:val="0"/>
                    <w:spacing w:line="240" w:lineRule="auto"/>
                    <w:jc w:val="center"/>
                    <w:rPr>
                      <w:rFonts w:hint="default"/>
                      <w:color w:val="auto"/>
                      <w:sz w:val="18"/>
                      <w:szCs w:val="18"/>
                    </w:rPr>
                  </w:pPr>
                </w:p>
              </w:tc>
              <w:tc>
                <w:tcPr>
                  <w:tcW w:w="358" w:type="pct"/>
                  <w:vMerge w:val="continue"/>
                  <w:vAlign w:val="center"/>
                </w:tcPr>
                <w:p>
                  <w:pPr>
                    <w:snapToGrid w:val="0"/>
                    <w:spacing w:line="240" w:lineRule="auto"/>
                    <w:jc w:val="center"/>
                    <w:rPr>
                      <w:rFonts w:hint="default"/>
                      <w:color w:val="auto"/>
                      <w:sz w:val="18"/>
                      <w:szCs w:val="18"/>
                      <w:lang w:val="en-US" w:eastAsia="zh-CN"/>
                    </w:rPr>
                  </w:pPr>
                </w:p>
              </w:tc>
              <w:tc>
                <w:tcPr>
                  <w:tcW w:w="496" w:type="pct"/>
                  <w:vAlign w:val="center"/>
                </w:tcPr>
                <w:p>
                  <w:pPr>
                    <w:snapToGrid w:val="0"/>
                    <w:spacing w:line="240" w:lineRule="auto"/>
                    <w:jc w:val="center"/>
                    <w:rPr>
                      <w:rFonts w:hint="default"/>
                      <w:color w:val="auto"/>
                      <w:sz w:val="18"/>
                      <w:szCs w:val="18"/>
                    </w:rPr>
                  </w:pPr>
                  <w:r>
                    <w:rPr>
                      <w:rFonts w:hint="default"/>
                      <w:color w:val="auto"/>
                      <w:sz w:val="18"/>
                      <w:szCs w:val="18"/>
                    </w:rPr>
                    <w:t>COD</w:t>
                  </w:r>
                </w:p>
              </w:tc>
              <w:tc>
                <w:tcPr>
                  <w:tcW w:w="552" w:type="pct"/>
                  <w:gridSpan w:val="2"/>
                  <w:vAlign w:val="center"/>
                </w:tcPr>
                <w:p>
                  <w:pPr>
                    <w:snapToGrid w:val="0"/>
                    <w:spacing w:line="240" w:lineRule="auto"/>
                    <w:ind w:firstLine="90" w:firstLineChars="50"/>
                    <w:jc w:val="center"/>
                    <w:rPr>
                      <w:rFonts w:hint="default" w:eastAsia="宋体"/>
                      <w:color w:val="auto"/>
                      <w:sz w:val="18"/>
                      <w:szCs w:val="18"/>
                      <w:lang w:val="en-US" w:eastAsia="zh-CN"/>
                    </w:rPr>
                  </w:pPr>
                  <w:r>
                    <w:rPr>
                      <w:rFonts w:hint="default"/>
                      <w:color w:val="auto"/>
                      <w:sz w:val="18"/>
                      <w:szCs w:val="18"/>
                    </w:rPr>
                    <w:t>350</w:t>
                  </w:r>
                </w:p>
              </w:tc>
              <w:tc>
                <w:tcPr>
                  <w:tcW w:w="546" w:type="pct"/>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0.560</w:t>
                  </w:r>
                </w:p>
              </w:tc>
              <w:tc>
                <w:tcPr>
                  <w:tcW w:w="450" w:type="pct"/>
                  <w:vMerge w:val="continue"/>
                  <w:vAlign w:val="center"/>
                </w:tcPr>
                <w:p>
                  <w:pPr>
                    <w:snapToGrid w:val="0"/>
                    <w:spacing w:line="240" w:lineRule="auto"/>
                    <w:jc w:val="center"/>
                    <w:rPr>
                      <w:rFonts w:hint="default"/>
                      <w:color w:val="auto"/>
                      <w:sz w:val="18"/>
                      <w:szCs w:val="18"/>
                    </w:rPr>
                  </w:pPr>
                </w:p>
              </w:tc>
              <w:tc>
                <w:tcPr>
                  <w:tcW w:w="578" w:type="pct"/>
                  <w:gridSpan w:val="2"/>
                  <w:vAlign w:val="center"/>
                </w:tcPr>
                <w:p>
                  <w:pPr>
                    <w:snapToGrid w:val="0"/>
                    <w:spacing w:line="240" w:lineRule="auto"/>
                    <w:ind w:firstLine="90" w:firstLineChars="50"/>
                    <w:jc w:val="center"/>
                    <w:rPr>
                      <w:rFonts w:hint="default"/>
                      <w:color w:val="auto"/>
                      <w:sz w:val="18"/>
                      <w:szCs w:val="18"/>
                    </w:rPr>
                  </w:pPr>
                  <w:r>
                    <w:rPr>
                      <w:rFonts w:hint="default"/>
                      <w:color w:val="auto"/>
                      <w:sz w:val="18"/>
                      <w:szCs w:val="18"/>
                    </w:rPr>
                    <w:t>350</w:t>
                  </w:r>
                </w:p>
              </w:tc>
              <w:tc>
                <w:tcPr>
                  <w:tcW w:w="554" w:type="pct"/>
                  <w:gridSpan w:val="2"/>
                  <w:vAlign w:val="center"/>
                </w:tcPr>
                <w:p>
                  <w:pPr>
                    <w:snapToGrid w:val="0"/>
                    <w:spacing w:line="240" w:lineRule="auto"/>
                    <w:jc w:val="center"/>
                    <w:rPr>
                      <w:rFonts w:hint="default"/>
                      <w:color w:val="auto"/>
                      <w:sz w:val="18"/>
                      <w:szCs w:val="18"/>
                    </w:rPr>
                  </w:pPr>
                  <w:r>
                    <w:rPr>
                      <w:rFonts w:hint="eastAsia"/>
                      <w:color w:val="auto"/>
                      <w:sz w:val="18"/>
                      <w:szCs w:val="18"/>
                      <w:lang w:val="en-US" w:eastAsia="zh-CN"/>
                    </w:rPr>
                    <w:t>0.560</w:t>
                  </w:r>
                </w:p>
              </w:tc>
              <w:tc>
                <w:tcPr>
                  <w:tcW w:w="496" w:type="pct"/>
                  <w:vAlign w:val="center"/>
                </w:tcPr>
                <w:p>
                  <w:pPr>
                    <w:snapToGrid w:val="0"/>
                    <w:spacing w:line="240" w:lineRule="auto"/>
                    <w:jc w:val="center"/>
                    <w:rPr>
                      <w:rFonts w:hint="default"/>
                      <w:color w:val="auto"/>
                      <w:sz w:val="18"/>
                      <w:szCs w:val="18"/>
                    </w:rPr>
                  </w:pPr>
                  <w:r>
                    <w:rPr>
                      <w:rFonts w:hint="default"/>
                      <w:color w:val="auto"/>
                      <w:sz w:val="18"/>
                      <w:szCs w:val="18"/>
                    </w:rPr>
                    <w:t>500</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snapToGrid w:val="0"/>
                    <w:spacing w:line="240" w:lineRule="auto"/>
                    <w:jc w:val="center"/>
                    <w:rPr>
                      <w:rFonts w:hint="default"/>
                      <w:color w:val="auto"/>
                      <w:sz w:val="18"/>
                      <w:szCs w:val="18"/>
                    </w:rPr>
                  </w:pPr>
                </w:p>
              </w:tc>
              <w:tc>
                <w:tcPr>
                  <w:tcW w:w="358" w:type="pct"/>
                  <w:vMerge w:val="continue"/>
                  <w:vAlign w:val="center"/>
                </w:tcPr>
                <w:p>
                  <w:pPr>
                    <w:snapToGrid w:val="0"/>
                    <w:spacing w:line="240" w:lineRule="auto"/>
                    <w:jc w:val="center"/>
                    <w:rPr>
                      <w:rFonts w:hint="default"/>
                      <w:color w:val="auto"/>
                      <w:sz w:val="18"/>
                      <w:szCs w:val="18"/>
                    </w:rPr>
                  </w:pPr>
                </w:p>
              </w:tc>
              <w:tc>
                <w:tcPr>
                  <w:tcW w:w="496" w:type="pct"/>
                  <w:vAlign w:val="center"/>
                </w:tcPr>
                <w:p>
                  <w:pPr>
                    <w:snapToGrid w:val="0"/>
                    <w:spacing w:line="240" w:lineRule="auto"/>
                    <w:jc w:val="center"/>
                    <w:rPr>
                      <w:rFonts w:hint="default"/>
                      <w:color w:val="auto"/>
                      <w:sz w:val="18"/>
                      <w:szCs w:val="18"/>
                    </w:rPr>
                  </w:pPr>
                  <w:r>
                    <w:rPr>
                      <w:rFonts w:hint="default"/>
                      <w:color w:val="auto"/>
                      <w:sz w:val="18"/>
                      <w:szCs w:val="18"/>
                    </w:rPr>
                    <w:t>SS</w:t>
                  </w:r>
                </w:p>
              </w:tc>
              <w:tc>
                <w:tcPr>
                  <w:tcW w:w="552" w:type="pct"/>
                  <w:gridSpan w:val="2"/>
                  <w:vAlign w:val="center"/>
                </w:tcPr>
                <w:p>
                  <w:pPr>
                    <w:snapToGrid w:val="0"/>
                    <w:spacing w:line="240" w:lineRule="auto"/>
                    <w:ind w:firstLine="90" w:firstLineChars="50"/>
                    <w:jc w:val="center"/>
                    <w:rPr>
                      <w:rFonts w:hint="default" w:eastAsia="宋体"/>
                      <w:color w:val="auto"/>
                      <w:sz w:val="18"/>
                      <w:szCs w:val="18"/>
                      <w:lang w:val="en-US" w:eastAsia="zh-CN"/>
                    </w:rPr>
                  </w:pPr>
                  <w:r>
                    <w:rPr>
                      <w:rFonts w:hint="default"/>
                      <w:color w:val="auto"/>
                      <w:sz w:val="18"/>
                      <w:szCs w:val="18"/>
                    </w:rPr>
                    <w:t>250</w:t>
                  </w:r>
                </w:p>
              </w:tc>
              <w:tc>
                <w:tcPr>
                  <w:tcW w:w="546" w:type="pct"/>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0.400</w:t>
                  </w:r>
                </w:p>
              </w:tc>
              <w:tc>
                <w:tcPr>
                  <w:tcW w:w="450" w:type="pct"/>
                  <w:vMerge w:val="continue"/>
                  <w:vAlign w:val="center"/>
                </w:tcPr>
                <w:p>
                  <w:pPr>
                    <w:snapToGrid w:val="0"/>
                    <w:spacing w:line="240" w:lineRule="auto"/>
                    <w:jc w:val="center"/>
                    <w:rPr>
                      <w:rFonts w:hint="default"/>
                      <w:color w:val="auto"/>
                      <w:sz w:val="18"/>
                      <w:szCs w:val="18"/>
                    </w:rPr>
                  </w:pPr>
                </w:p>
              </w:tc>
              <w:tc>
                <w:tcPr>
                  <w:tcW w:w="578" w:type="pct"/>
                  <w:gridSpan w:val="2"/>
                  <w:vAlign w:val="center"/>
                </w:tcPr>
                <w:p>
                  <w:pPr>
                    <w:snapToGrid w:val="0"/>
                    <w:spacing w:line="240" w:lineRule="auto"/>
                    <w:ind w:firstLine="90" w:firstLineChars="50"/>
                    <w:jc w:val="center"/>
                    <w:rPr>
                      <w:rFonts w:hint="default"/>
                      <w:color w:val="auto"/>
                      <w:sz w:val="18"/>
                      <w:szCs w:val="18"/>
                    </w:rPr>
                  </w:pPr>
                  <w:r>
                    <w:rPr>
                      <w:rFonts w:hint="default"/>
                      <w:color w:val="auto"/>
                      <w:sz w:val="18"/>
                      <w:szCs w:val="18"/>
                    </w:rPr>
                    <w:t>250</w:t>
                  </w:r>
                </w:p>
              </w:tc>
              <w:tc>
                <w:tcPr>
                  <w:tcW w:w="554" w:type="pct"/>
                  <w:gridSpan w:val="2"/>
                  <w:vAlign w:val="center"/>
                </w:tcPr>
                <w:p>
                  <w:pPr>
                    <w:snapToGrid w:val="0"/>
                    <w:spacing w:line="240" w:lineRule="auto"/>
                    <w:jc w:val="center"/>
                    <w:rPr>
                      <w:rFonts w:hint="default"/>
                      <w:color w:val="auto"/>
                      <w:sz w:val="18"/>
                      <w:szCs w:val="18"/>
                    </w:rPr>
                  </w:pPr>
                  <w:r>
                    <w:rPr>
                      <w:rFonts w:hint="eastAsia"/>
                      <w:color w:val="auto"/>
                      <w:sz w:val="18"/>
                      <w:szCs w:val="18"/>
                      <w:lang w:val="en-US" w:eastAsia="zh-CN"/>
                    </w:rPr>
                    <w:t>0.400</w:t>
                  </w:r>
                </w:p>
              </w:tc>
              <w:tc>
                <w:tcPr>
                  <w:tcW w:w="496" w:type="pct"/>
                  <w:vAlign w:val="center"/>
                </w:tcPr>
                <w:p>
                  <w:pPr>
                    <w:snapToGrid w:val="0"/>
                    <w:spacing w:line="240" w:lineRule="auto"/>
                    <w:jc w:val="center"/>
                    <w:rPr>
                      <w:rFonts w:hint="default"/>
                      <w:color w:val="auto"/>
                      <w:sz w:val="18"/>
                      <w:szCs w:val="18"/>
                    </w:rPr>
                  </w:pPr>
                  <w:r>
                    <w:rPr>
                      <w:rFonts w:hint="default"/>
                      <w:color w:val="auto"/>
                      <w:sz w:val="18"/>
                      <w:szCs w:val="18"/>
                    </w:rPr>
                    <w:t>400</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snapToGrid w:val="0"/>
                    <w:spacing w:line="240" w:lineRule="auto"/>
                    <w:jc w:val="center"/>
                    <w:rPr>
                      <w:rFonts w:hint="default"/>
                      <w:color w:val="auto"/>
                      <w:sz w:val="18"/>
                      <w:szCs w:val="18"/>
                    </w:rPr>
                  </w:pPr>
                </w:p>
              </w:tc>
              <w:tc>
                <w:tcPr>
                  <w:tcW w:w="358" w:type="pct"/>
                  <w:vMerge w:val="continue"/>
                  <w:vAlign w:val="center"/>
                </w:tcPr>
                <w:p>
                  <w:pPr>
                    <w:snapToGrid w:val="0"/>
                    <w:spacing w:line="240" w:lineRule="auto"/>
                    <w:jc w:val="center"/>
                    <w:rPr>
                      <w:rFonts w:hint="default"/>
                      <w:color w:val="auto"/>
                      <w:sz w:val="18"/>
                      <w:szCs w:val="18"/>
                    </w:rPr>
                  </w:pPr>
                </w:p>
              </w:tc>
              <w:tc>
                <w:tcPr>
                  <w:tcW w:w="496" w:type="pct"/>
                  <w:vAlign w:val="center"/>
                </w:tcPr>
                <w:p>
                  <w:pPr>
                    <w:snapToGrid w:val="0"/>
                    <w:spacing w:line="240" w:lineRule="auto"/>
                    <w:jc w:val="center"/>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default"/>
                      <w:color w:val="auto"/>
                      <w:sz w:val="18"/>
                      <w:szCs w:val="18"/>
                    </w:rPr>
                    <w:t>-N</w:t>
                  </w:r>
                </w:p>
              </w:tc>
              <w:tc>
                <w:tcPr>
                  <w:tcW w:w="552" w:type="pct"/>
                  <w:gridSpan w:val="2"/>
                  <w:vAlign w:val="center"/>
                </w:tcPr>
                <w:p>
                  <w:pPr>
                    <w:snapToGrid w:val="0"/>
                    <w:spacing w:line="240" w:lineRule="auto"/>
                    <w:ind w:firstLine="90" w:firstLineChars="50"/>
                    <w:jc w:val="center"/>
                    <w:rPr>
                      <w:rFonts w:hint="default" w:eastAsia="宋体"/>
                      <w:color w:val="auto"/>
                      <w:sz w:val="18"/>
                      <w:szCs w:val="18"/>
                      <w:lang w:val="en-US" w:eastAsia="zh-CN"/>
                    </w:rPr>
                  </w:pPr>
                  <w:r>
                    <w:rPr>
                      <w:rFonts w:hint="default"/>
                      <w:color w:val="auto"/>
                      <w:sz w:val="18"/>
                      <w:szCs w:val="18"/>
                    </w:rPr>
                    <w:t>30</w:t>
                  </w:r>
                </w:p>
              </w:tc>
              <w:tc>
                <w:tcPr>
                  <w:tcW w:w="546" w:type="pct"/>
                  <w:vAlign w:val="center"/>
                </w:tcPr>
                <w:p>
                  <w:pPr>
                    <w:snapToGrid w:val="0"/>
                    <w:spacing w:line="240" w:lineRule="auto"/>
                    <w:jc w:val="center"/>
                    <w:rPr>
                      <w:rFonts w:hint="default"/>
                      <w:color w:val="auto"/>
                      <w:sz w:val="18"/>
                      <w:szCs w:val="18"/>
                      <w:lang w:val="en-US" w:eastAsia="zh-CN"/>
                    </w:rPr>
                  </w:pPr>
                  <w:r>
                    <w:rPr>
                      <w:rFonts w:hint="eastAsia"/>
                      <w:color w:val="auto"/>
                      <w:sz w:val="18"/>
                      <w:szCs w:val="18"/>
                      <w:lang w:val="en-US" w:eastAsia="zh-CN"/>
                    </w:rPr>
                    <w:t>0.048</w:t>
                  </w:r>
                </w:p>
              </w:tc>
              <w:tc>
                <w:tcPr>
                  <w:tcW w:w="450" w:type="pct"/>
                  <w:vMerge w:val="continue"/>
                  <w:vAlign w:val="center"/>
                </w:tcPr>
                <w:p>
                  <w:pPr>
                    <w:snapToGrid w:val="0"/>
                    <w:spacing w:line="240" w:lineRule="auto"/>
                    <w:jc w:val="center"/>
                    <w:rPr>
                      <w:rFonts w:hint="default"/>
                      <w:color w:val="auto"/>
                      <w:sz w:val="18"/>
                      <w:szCs w:val="18"/>
                    </w:rPr>
                  </w:pPr>
                </w:p>
              </w:tc>
              <w:tc>
                <w:tcPr>
                  <w:tcW w:w="578" w:type="pct"/>
                  <w:gridSpan w:val="2"/>
                  <w:vAlign w:val="center"/>
                </w:tcPr>
                <w:p>
                  <w:pPr>
                    <w:snapToGrid w:val="0"/>
                    <w:spacing w:line="240" w:lineRule="auto"/>
                    <w:ind w:firstLine="90" w:firstLineChars="50"/>
                    <w:jc w:val="center"/>
                    <w:rPr>
                      <w:rFonts w:hint="default"/>
                      <w:color w:val="auto"/>
                      <w:sz w:val="18"/>
                      <w:szCs w:val="18"/>
                    </w:rPr>
                  </w:pPr>
                  <w:r>
                    <w:rPr>
                      <w:rFonts w:hint="default"/>
                      <w:color w:val="auto"/>
                      <w:sz w:val="18"/>
                      <w:szCs w:val="18"/>
                    </w:rPr>
                    <w:t>30</w:t>
                  </w:r>
                </w:p>
              </w:tc>
              <w:tc>
                <w:tcPr>
                  <w:tcW w:w="554" w:type="pct"/>
                  <w:gridSpan w:val="2"/>
                  <w:vAlign w:val="center"/>
                </w:tcPr>
                <w:p>
                  <w:pPr>
                    <w:snapToGrid w:val="0"/>
                    <w:spacing w:line="240" w:lineRule="auto"/>
                    <w:jc w:val="center"/>
                    <w:rPr>
                      <w:rFonts w:hint="default"/>
                      <w:color w:val="auto"/>
                      <w:sz w:val="18"/>
                      <w:szCs w:val="18"/>
                    </w:rPr>
                  </w:pPr>
                  <w:r>
                    <w:rPr>
                      <w:rFonts w:hint="eastAsia"/>
                      <w:color w:val="auto"/>
                      <w:sz w:val="18"/>
                      <w:szCs w:val="18"/>
                      <w:lang w:val="en-US" w:eastAsia="zh-CN"/>
                    </w:rPr>
                    <w:t>0.048</w:t>
                  </w:r>
                </w:p>
              </w:tc>
              <w:tc>
                <w:tcPr>
                  <w:tcW w:w="496" w:type="pct"/>
                  <w:vAlign w:val="center"/>
                </w:tcPr>
                <w:p>
                  <w:pPr>
                    <w:snapToGrid w:val="0"/>
                    <w:spacing w:line="240" w:lineRule="auto"/>
                    <w:jc w:val="center"/>
                    <w:rPr>
                      <w:rFonts w:hint="default"/>
                      <w:color w:val="auto"/>
                      <w:sz w:val="18"/>
                      <w:szCs w:val="18"/>
                    </w:rPr>
                  </w:pPr>
                  <w:r>
                    <w:rPr>
                      <w:rFonts w:hint="default"/>
                      <w:color w:val="auto"/>
                      <w:sz w:val="18"/>
                      <w:szCs w:val="18"/>
                    </w:rPr>
                    <w:t>45</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snapToGrid w:val="0"/>
                    <w:spacing w:line="240" w:lineRule="auto"/>
                    <w:jc w:val="center"/>
                    <w:rPr>
                      <w:rFonts w:hint="default"/>
                      <w:color w:val="auto"/>
                      <w:sz w:val="18"/>
                      <w:szCs w:val="18"/>
                    </w:rPr>
                  </w:pPr>
                </w:p>
              </w:tc>
              <w:tc>
                <w:tcPr>
                  <w:tcW w:w="358" w:type="pct"/>
                  <w:vMerge w:val="continue"/>
                  <w:vAlign w:val="center"/>
                </w:tcPr>
                <w:p>
                  <w:pPr>
                    <w:snapToGrid w:val="0"/>
                    <w:spacing w:line="240" w:lineRule="auto"/>
                    <w:jc w:val="center"/>
                    <w:rPr>
                      <w:rFonts w:hint="default"/>
                      <w:color w:val="auto"/>
                      <w:sz w:val="18"/>
                      <w:szCs w:val="18"/>
                    </w:rPr>
                  </w:pPr>
                </w:p>
              </w:tc>
              <w:tc>
                <w:tcPr>
                  <w:tcW w:w="496" w:type="pct"/>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TP</w:t>
                  </w:r>
                </w:p>
              </w:tc>
              <w:tc>
                <w:tcPr>
                  <w:tcW w:w="552" w:type="pct"/>
                  <w:gridSpan w:val="2"/>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r>
                    <w:rPr>
                      <w:rFonts w:hint="default"/>
                      <w:color w:val="auto"/>
                      <w:sz w:val="18"/>
                      <w:szCs w:val="18"/>
                    </w:rPr>
                    <w:t>5</w:t>
                  </w:r>
                </w:p>
              </w:tc>
              <w:tc>
                <w:tcPr>
                  <w:tcW w:w="546" w:type="pct"/>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0.008</w:t>
                  </w:r>
                </w:p>
              </w:tc>
              <w:tc>
                <w:tcPr>
                  <w:tcW w:w="450" w:type="pct"/>
                  <w:vMerge w:val="continue"/>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p>
              </w:tc>
              <w:tc>
                <w:tcPr>
                  <w:tcW w:w="578" w:type="pct"/>
                  <w:gridSpan w:val="2"/>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r>
                    <w:rPr>
                      <w:rFonts w:hint="default"/>
                      <w:color w:val="auto"/>
                      <w:sz w:val="18"/>
                      <w:szCs w:val="18"/>
                    </w:rPr>
                    <w:t>5</w:t>
                  </w:r>
                </w:p>
              </w:tc>
              <w:tc>
                <w:tcPr>
                  <w:tcW w:w="554"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0.008</w:t>
                  </w:r>
                </w:p>
              </w:tc>
              <w:tc>
                <w:tcPr>
                  <w:tcW w:w="496" w:type="pct"/>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restart"/>
                  <w:tcBorders>
                    <w:left w:val="nil"/>
                  </w:tcBorders>
                  <w:vAlign w:val="center"/>
                </w:tcPr>
                <w:p>
                  <w:pPr>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循环冷却水</w:t>
                  </w:r>
                </w:p>
              </w:tc>
              <w:tc>
                <w:tcPr>
                  <w:tcW w:w="358" w:type="pct"/>
                  <w:vMerge w:val="restart"/>
                  <w:vAlign w:val="center"/>
                </w:tcPr>
                <w:p>
                  <w:pPr>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6</w:t>
                  </w:r>
                </w:p>
              </w:tc>
              <w:tc>
                <w:tcPr>
                  <w:tcW w:w="496" w:type="pct"/>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pH</w:t>
                  </w:r>
                </w:p>
              </w:tc>
              <w:tc>
                <w:tcPr>
                  <w:tcW w:w="1098" w:type="pct"/>
                  <w:gridSpan w:val="3"/>
                  <w:vAlign w:val="center"/>
                </w:tcPr>
                <w:p>
                  <w:pPr>
                    <w:snapToGrid w:val="0"/>
                    <w:spacing w:line="240" w:lineRule="auto"/>
                    <w:ind w:firstLine="90" w:firstLineChars="50"/>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6~9</w:t>
                  </w:r>
                  <w:r>
                    <w:rPr>
                      <w:rFonts w:hint="eastAsia" w:ascii="Times New Roman" w:hAnsi="Times New Roman" w:eastAsia="宋体" w:cs="Times New Roman"/>
                      <w:color w:val="auto"/>
                      <w:sz w:val="18"/>
                      <w:szCs w:val="18"/>
                      <w:lang w:val="en-US" w:eastAsia="zh-CN"/>
                    </w:rPr>
                    <w:t>（无量纲）</w:t>
                  </w:r>
                </w:p>
              </w:tc>
              <w:tc>
                <w:tcPr>
                  <w:tcW w:w="450" w:type="pct"/>
                  <w:vMerge w:val="continue"/>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p>
              </w:tc>
              <w:tc>
                <w:tcPr>
                  <w:tcW w:w="1629" w:type="pct"/>
                  <w:gridSpan w:val="5"/>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6~9</w:t>
                  </w:r>
                  <w:r>
                    <w:rPr>
                      <w:rFonts w:hint="eastAsia" w:ascii="Times New Roman" w:hAnsi="Times New Roman" w:eastAsia="宋体" w:cs="Times New Roman"/>
                      <w:color w:val="auto"/>
                      <w:sz w:val="18"/>
                      <w:szCs w:val="18"/>
                      <w:lang w:val="en-US" w:eastAsia="zh-CN"/>
                    </w:rPr>
                    <w:t>（无量纲）</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snapToGrid w:val="0"/>
                    <w:spacing w:line="240" w:lineRule="auto"/>
                    <w:jc w:val="center"/>
                    <w:rPr>
                      <w:rFonts w:hint="eastAsia"/>
                      <w:color w:val="auto"/>
                      <w:sz w:val="18"/>
                      <w:szCs w:val="18"/>
                      <w:lang w:val="en-US" w:eastAsia="zh-CN"/>
                    </w:rPr>
                  </w:pPr>
                </w:p>
              </w:tc>
              <w:tc>
                <w:tcPr>
                  <w:tcW w:w="358" w:type="pct"/>
                  <w:vMerge w:val="continue"/>
                  <w:vAlign w:val="center"/>
                </w:tcPr>
                <w:p>
                  <w:pPr>
                    <w:snapToGrid w:val="0"/>
                    <w:spacing w:line="240" w:lineRule="auto"/>
                    <w:jc w:val="center"/>
                    <w:rPr>
                      <w:rFonts w:hint="default"/>
                      <w:color w:val="auto"/>
                      <w:sz w:val="18"/>
                      <w:szCs w:val="18"/>
                    </w:rPr>
                  </w:pPr>
                </w:p>
              </w:tc>
              <w:tc>
                <w:tcPr>
                  <w:tcW w:w="496" w:type="pct"/>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COD</w:t>
                  </w:r>
                </w:p>
              </w:tc>
              <w:tc>
                <w:tcPr>
                  <w:tcW w:w="508" w:type="pct"/>
                  <w:vAlign w:val="center"/>
                </w:tcPr>
                <w:p>
                  <w:pPr>
                    <w:snapToGrid w:val="0"/>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590"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w:t>
                  </w:r>
                  <w:r>
                    <w:rPr>
                      <w:rFonts w:hint="eastAsia" w:ascii="Times New Roman" w:hAnsi="Times New Roman" w:eastAsia="宋体" w:cs="Times New Roman"/>
                      <w:color w:val="auto"/>
                      <w:sz w:val="18"/>
                      <w:szCs w:val="18"/>
                      <w:lang w:val="en-US" w:eastAsia="zh-CN"/>
                    </w:rPr>
                    <w:t>0018</w:t>
                  </w:r>
                </w:p>
              </w:tc>
              <w:tc>
                <w:tcPr>
                  <w:tcW w:w="450" w:type="pct"/>
                  <w:vMerge w:val="continue"/>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p>
              </w:tc>
              <w:tc>
                <w:tcPr>
                  <w:tcW w:w="462" w:type="pct"/>
                  <w:vAlign w:val="center"/>
                </w:tcPr>
                <w:p>
                  <w:pPr>
                    <w:snapToGrid w:val="0"/>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635"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w:t>
                  </w:r>
                  <w:r>
                    <w:rPr>
                      <w:rFonts w:hint="eastAsia" w:ascii="Times New Roman" w:hAnsi="Times New Roman" w:eastAsia="宋体" w:cs="Times New Roman"/>
                      <w:color w:val="auto"/>
                      <w:sz w:val="18"/>
                      <w:szCs w:val="18"/>
                      <w:lang w:val="en-US" w:eastAsia="zh-CN"/>
                    </w:rPr>
                    <w:t>0018</w:t>
                  </w:r>
                </w:p>
              </w:tc>
              <w:tc>
                <w:tcPr>
                  <w:tcW w:w="531"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500</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vMerge w:val="continue"/>
                  <w:tcBorders>
                    <w:left w:val="nil"/>
                  </w:tcBorders>
                  <w:vAlign w:val="center"/>
                </w:tcPr>
                <w:p>
                  <w:pPr>
                    <w:snapToGrid w:val="0"/>
                    <w:spacing w:line="240" w:lineRule="auto"/>
                    <w:jc w:val="center"/>
                    <w:rPr>
                      <w:rFonts w:hint="eastAsia"/>
                      <w:color w:val="auto"/>
                      <w:sz w:val="18"/>
                      <w:szCs w:val="18"/>
                      <w:lang w:val="en-US" w:eastAsia="zh-CN"/>
                    </w:rPr>
                  </w:pPr>
                </w:p>
              </w:tc>
              <w:tc>
                <w:tcPr>
                  <w:tcW w:w="358" w:type="pct"/>
                  <w:vMerge w:val="continue"/>
                  <w:vAlign w:val="center"/>
                </w:tcPr>
                <w:p>
                  <w:pPr>
                    <w:snapToGrid w:val="0"/>
                    <w:spacing w:line="240" w:lineRule="auto"/>
                    <w:jc w:val="center"/>
                    <w:rPr>
                      <w:rFonts w:hint="default"/>
                      <w:color w:val="auto"/>
                      <w:sz w:val="18"/>
                      <w:szCs w:val="18"/>
                    </w:rPr>
                  </w:pPr>
                </w:p>
              </w:tc>
              <w:tc>
                <w:tcPr>
                  <w:tcW w:w="496" w:type="pct"/>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SS</w:t>
                  </w:r>
                </w:p>
              </w:tc>
              <w:tc>
                <w:tcPr>
                  <w:tcW w:w="508" w:type="pct"/>
                  <w:vAlign w:val="center"/>
                </w:tcPr>
                <w:p>
                  <w:pPr>
                    <w:snapToGrid w:val="0"/>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590"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w:t>
                  </w:r>
                  <w:r>
                    <w:rPr>
                      <w:rFonts w:hint="eastAsia" w:ascii="Times New Roman" w:hAnsi="Times New Roman" w:eastAsia="宋体" w:cs="Times New Roman"/>
                      <w:color w:val="auto"/>
                      <w:sz w:val="18"/>
                      <w:szCs w:val="18"/>
                      <w:lang w:val="en-US" w:eastAsia="zh-CN"/>
                    </w:rPr>
                    <w:t>0018</w:t>
                  </w:r>
                </w:p>
              </w:tc>
              <w:tc>
                <w:tcPr>
                  <w:tcW w:w="450" w:type="pct"/>
                  <w:vMerge w:val="continue"/>
                  <w:vAlign w:val="center"/>
                </w:tcPr>
                <w:p>
                  <w:pPr>
                    <w:snapToGrid w:val="0"/>
                    <w:spacing w:line="240" w:lineRule="auto"/>
                    <w:ind w:firstLine="90" w:firstLineChars="50"/>
                    <w:jc w:val="center"/>
                    <w:rPr>
                      <w:rFonts w:hint="default" w:ascii="Times New Roman" w:hAnsi="Times New Roman" w:eastAsia="宋体" w:cs="Times New Roman"/>
                      <w:color w:val="auto"/>
                      <w:sz w:val="18"/>
                      <w:szCs w:val="18"/>
                      <w:lang w:val="en-US" w:eastAsia="zh-CN"/>
                    </w:rPr>
                  </w:pPr>
                </w:p>
              </w:tc>
              <w:tc>
                <w:tcPr>
                  <w:tcW w:w="462" w:type="pct"/>
                  <w:vAlign w:val="center"/>
                </w:tcPr>
                <w:p>
                  <w:pPr>
                    <w:snapToGrid w:val="0"/>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635"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w:t>
                  </w:r>
                  <w:r>
                    <w:rPr>
                      <w:rFonts w:hint="eastAsia" w:ascii="Times New Roman" w:hAnsi="Times New Roman" w:eastAsia="宋体" w:cs="Times New Roman"/>
                      <w:color w:val="auto"/>
                      <w:sz w:val="18"/>
                      <w:szCs w:val="18"/>
                      <w:lang w:val="en-US" w:eastAsia="zh-CN"/>
                    </w:rPr>
                    <w:t>0018</w:t>
                  </w:r>
                </w:p>
              </w:tc>
              <w:tc>
                <w:tcPr>
                  <w:tcW w:w="531" w:type="pct"/>
                  <w:gridSpan w:val="2"/>
                  <w:vAlign w:val="center"/>
                </w:tcPr>
                <w:p>
                  <w:pPr>
                    <w:snapToGrid w:val="0"/>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00</w:t>
                  </w:r>
                </w:p>
              </w:tc>
              <w:tc>
                <w:tcPr>
                  <w:tcW w:w="499" w:type="pct"/>
                  <w:vMerge w:val="continue"/>
                  <w:tcBorders>
                    <w:right w:val="nil"/>
                  </w:tcBorders>
                  <w:vAlign w:val="center"/>
                </w:tcPr>
                <w:p>
                  <w:pPr>
                    <w:snapToGrid w:val="0"/>
                    <w:spacing w:line="240" w:lineRule="auto"/>
                    <w:jc w:val="center"/>
                    <w:rPr>
                      <w:rFonts w:hint="default"/>
                      <w:color w:val="000000" w:themeColor="text1"/>
                      <w:sz w:val="18"/>
                      <w:szCs w:val="18"/>
                      <w14:textFill>
                        <w14:solidFill>
                          <w14:schemeClr w14:val="tx1"/>
                        </w14:solidFill>
                      </w14:textFill>
                    </w:rPr>
                  </w:pPr>
                </w:p>
              </w:tc>
            </w:tr>
          </w:tbl>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r>
              <w:rPr>
                <w:rFonts w:hint="default"/>
                <w:b/>
                <w:bCs/>
              </w:rPr>
              <w:t>表</w:t>
            </w:r>
            <w:r>
              <w:rPr>
                <w:rFonts w:hint="default"/>
                <w:b/>
                <w:bCs/>
                <w:lang w:val="en-US" w:eastAsia="zh-CN"/>
              </w:rPr>
              <w:t>4-</w:t>
            </w:r>
            <w:r>
              <w:rPr>
                <w:rFonts w:hint="eastAsia"/>
                <w:b/>
                <w:bCs/>
                <w:lang w:val="en-US" w:eastAsia="zh-CN"/>
              </w:rPr>
              <w:t xml:space="preserve">13 </w:t>
            </w:r>
            <w:r>
              <w:rPr>
                <w:rFonts w:hint="default"/>
                <w:b/>
                <w:bCs/>
              </w:rPr>
              <w:t xml:space="preserve"> 废水类别、污染物及污染治理设施信息表</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
              <w:gridCol w:w="689"/>
              <w:gridCol w:w="653"/>
              <w:gridCol w:w="925"/>
              <w:gridCol w:w="633"/>
              <w:gridCol w:w="640"/>
              <w:gridCol w:w="613"/>
              <w:gridCol w:w="686"/>
              <w:gridCol w:w="381"/>
              <w:gridCol w:w="658"/>
              <w:gridCol w:w="12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废水类别</w:t>
                  </w:r>
                </w:p>
              </w:tc>
              <w:tc>
                <w:tcPr>
                  <w:tcW w:w="446"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污染物</w:t>
                  </w:r>
                </w:p>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种类</w:t>
                  </w:r>
                </w:p>
              </w:tc>
              <w:tc>
                <w:tcPr>
                  <w:tcW w:w="423"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排放去向</w:t>
                  </w:r>
                </w:p>
              </w:tc>
              <w:tc>
                <w:tcPr>
                  <w:tcW w:w="599"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排放规律</w:t>
                  </w:r>
                </w:p>
              </w:tc>
              <w:tc>
                <w:tcPr>
                  <w:tcW w:w="1665" w:type="pct"/>
                  <w:gridSpan w:val="4"/>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污染治理措施</w:t>
                  </w:r>
                </w:p>
              </w:tc>
              <w:tc>
                <w:tcPr>
                  <w:tcW w:w="247"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排放口编号</w:t>
                  </w:r>
                </w:p>
              </w:tc>
              <w:tc>
                <w:tcPr>
                  <w:tcW w:w="426"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排放口设置是否符合要求</w:t>
                  </w:r>
                </w:p>
              </w:tc>
              <w:tc>
                <w:tcPr>
                  <w:tcW w:w="808"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4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2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59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10"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污染治理措施编号</w:t>
                  </w:r>
                </w:p>
              </w:tc>
              <w:tc>
                <w:tcPr>
                  <w:tcW w:w="414"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污染治理措施名称</w:t>
                  </w:r>
                </w:p>
              </w:tc>
              <w:tc>
                <w:tcPr>
                  <w:tcW w:w="397"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污染治理</w:t>
                  </w:r>
                </w:p>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rPr>
                  </w:pPr>
                  <w:r>
                    <w:rPr>
                      <w:rFonts w:hint="default"/>
                      <w:b/>
                      <w:bCs/>
                      <w:sz w:val="18"/>
                      <w:szCs w:val="18"/>
                    </w:rPr>
                    <w:t>设施工艺</w:t>
                  </w:r>
                </w:p>
              </w:tc>
              <w:tc>
                <w:tcPr>
                  <w:tcW w:w="443"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b/>
                      <w:bCs/>
                      <w:sz w:val="18"/>
                      <w:szCs w:val="18"/>
                      <w:lang w:val="en-US" w:eastAsia="zh-CN"/>
                    </w:rPr>
                  </w:pPr>
                  <w:r>
                    <w:rPr>
                      <w:rFonts w:hint="eastAsia"/>
                      <w:b/>
                      <w:bCs/>
                      <w:sz w:val="18"/>
                      <w:szCs w:val="18"/>
                      <w:lang w:val="en-US" w:eastAsia="zh-CN"/>
                    </w:rPr>
                    <w:t>是否为可行技术</w:t>
                  </w:r>
                </w:p>
              </w:tc>
              <w:tc>
                <w:tcPr>
                  <w:tcW w:w="247"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2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80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default"/>
                      <w:sz w:val="18"/>
                      <w:szCs w:val="18"/>
                    </w:rPr>
                    <w:t>生活污水</w:t>
                  </w:r>
                </w:p>
              </w:tc>
              <w:tc>
                <w:tcPr>
                  <w:tcW w:w="446"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pH</w:t>
                  </w:r>
                  <w:r>
                    <w:rPr>
                      <w:rFonts w:hint="eastAsia" w:ascii="Times New Roman" w:hAnsi="Times New Roman" w:cs="Times New Roman"/>
                      <w:sz w:val="18"/>
                      <w:szCs w:val="18"/>
                      <w:lang w:eastAsia="zh-CN"/>
                    </w:rPr>
                    <w:t>、</w:t>
                  </w:r>
                  <w:r>
                    <w:rPr>
                      <w:rFonts w:hint="default" w:ascii="Times New Roman" w:hAnsi="Times New Roman" w:cs="Times New Roman"/>
                      <w:sz w:val="18"/>
                      <w:szCs w:val="18"/>
                    </w:rPr>
                    <w:t>COD、SS、NH</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-N</w:t>
                  </w:r>
                  <w:r>
                    <w:rPr>
                      <w:rFonts w:hint="default" w:ascii="Times New Roman" w:hAnsi="Times New Roman" w:cs="Times New Roman"/>
                      <w:sz w:val="18"/>
                      <w:szCs w:val="18"/>
                      <w:lang w:eastAsia="zh-CN"/>
                    </w:rPr>
                    <w:t>、</w:t>
                  </w:r>
                  <w:r>
                    <w:rPr>
                      <w:rFonts w:hint="default" w:ascii="Times New Roman" w:hAnsi="Times New Roman" w:cs="Times New Roman"/>
                      <w:sz w:val="18"/>
                      <w:szCs w:val="18"/>
                    </w:rPr>
                    <w:t>TP</w:t>
                  </w:r>
                </w:p>
              </w:tc>
              <w:tc>
                <w:tcPr>
                  <w:tcW w:w="423"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t>进入城市污水厂</w:t>
                  </w:r>
                </w:p>
              </w:tc>
              <w:tc>
                <w:tcPr>
                  <w:tcW w:w="599"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t>间断排放，排放期间流量不稳定且无规律，但不属于冲击型排放</w:t>
                  </w:r>
                </w:p>
              </w:tc>
              <w:tc>
                <w:tcPr>
                  <w:tcW w:w="410"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t>/</w:t>
                  </w:r>
                </w:p>
              </w:tc>
              <w:tc>
                <w:tcPr>
                  <w:tcW w:w="414"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t>/</w:t>
                  </w:r>
                </w:p>
              </w:tc>
              <w:tc>
                <w:tcPr>
                  <w:tcW w:w="397"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t>/</w:t>
                  </w:r>
                </w:p>
              </w:tc>
              <w:tc>
                <w:tcPr>
                  <w:tcW w:w="443"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eastAsia" w:eastAsia="宋体"/>
                      <w:sz w:val="18"/>
                      <w:szCs w:val="18"/>
                      <w:lang w:val="en-US" w:eastAsia="zh-CN"/>
                    </w:rPr>
                  </w:pPr>
                  <w:r>
                    <w:rPr>
                      <w:rFonts w:hint="eastAsia"/>
                      <w:sz w:val="18"/>
                      <w:szCs w:val="18"/>
                      <w:lang w:val="en-US" w:eastAsia="zh-CN"/>
                    </w:rPr>
                    <w:t>/</w:t>
                  </w:r>
                </w:p>
              </w:tc>
              <w:tc>
                <w:tcPr>
                  <w:tcW w:w="247"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t>/</w:t>
                  </w:r>
                </w:p>
              </w:tc>
              <w:tc>
                <w:tcPr>
                  <w:tcW w:w="426"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eastAsia"/>
                      <w:sz w:val="18"/>
                      <w:szCs w:val="18"/>
                      <w:lang w:eastAsia="zh-CN"/>
                    </w:rPr>
                    <w:sym w:font="Wingdings 2" w:char="0052"/>
                  </w:r>
                  <w:r>
                    <w:rPr>
                      <w:rFonts w:hint="default"/>
                      <w:sz w:val="18"/>
                      <w:szCs w:val="18"/>
                    </w:rPr>
                    <w:t>是</w:t>
                  </w:r>
                </w:p>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r>
                    <w:rPr>
                      <w:rFonts w:hint="default"/>
                      <w:sz w:val="18"/>
                      <w:szCs w:val="18"/>
                    </w:rPr>
                    <w:sym w:font="Wingdings 2" w:char="00A3"/>
                  </w:r>
                  <w:r>
                    <w:rPr>
                      <w:rFonts w:hint="default"/>
                      <w:sz w:val="18"/>
                      <w:szCs w:val="18"/>
                    </w:rPr>
                    <w:t>否</w:t>
                  </w:r>
                </w:p>
              </w:tc>
              <w:tc>
                <w:tcPr>
                  <w:tcW w:w="808"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left"/>
                    <w:textAlignment w:val="auto"/>
                    <w:rPr>
                      <w:rFonts w:hint="default"/>
                      <w:sz w:val="18"/>
                      <w:szCs w:val="18"/>
                    </w:rPr>
                  </w:pPr>
                  <w:r>
                    <w:rPr>
                      <w:rFonts w:hint="eastAsia"/>
                      <w:sz w:val="18"/>
                      <w:szCs w:val="18"/>
                      <w:lang w:eastAsia="zh-CN"/>
                    </w:rPr>
                    <w:sym w:font="Wingdings 2" w:char="0052"/>
                  </w:r>
                  <w:r>
                    <w:rPr>
                      <w:rFonts w:hint="default"/>
                      <w:sz w:val="18"/>
                      <w:szCs w:val="18"/>
                    </w:rPr>
                    <w:t>企业总排口</w:t>
                  </w:r>
                </w:p>
                <w:p>
                  <w:pPr>
                    <w:pStyle w:val="6"/>
                    <w:keepNext w:val="0"/>
                    <w:keepLines w:val="0"/>
                    <w:pageBreakBefore w:val="0"/>
                    <w:kinsoku/>
                    <w:wordWrap/>
                    <w:overflowPunct/>
                    <w:topLinePunct w:val="0"/>
                    <w:autoSpaceDE/>
                    <w:autoSpaceDN/>
                    <w:bidi w:val="0"/>
                    <w:adjustRightInd/>
                    <w:snapToGrid/>
                    <w:spacing w:before="0" w:after="0" w:line="240" w:lineRule="auto"/>
                    <w:ind w:right="0"/>
                    <w:jc w:val="left"/>
                    <w:textAlignment w:val="auto"/>
                    <w:rPr>
                      <w:rFonts w:hint="default"/>
                      <w:sz w:val="18"/>
                      <w:szCs w:val="18"/>
                    </w:rPr>
                  </w:pPr>
                  <w:r>
                    <w:rPr>
                      <w:rFonts w:hint="default"/>
                      <w:sz w:val="18"/>
                      <w:szCs w:val="18"/>
                    </w:rPr>
                    <w:sym w:font="Wingdings 2" w:char="00A3"/>
                  </w:r>
                  <w:r>
                    <w:rPr>
                      <w:rFonts w:hint="default"/>
                      <w:sz w:val="18"/>
                      <w:szCs w:val="18"/>
                    </w:rPr>
                    <w:t>雨水排放</w:t>
                  </w:r>
                </w:p>
                <w:p>
                  <w:pPr>
                    <w:pStyle w:val="6"/>
                    <w:keepNext w:val="0"/>
                    <w:keepLines w:val="0"/>
                    <w:pageBreakBefore w:val="0"/>
                    <w:kinsoku/>
                    <w:wordWrap/>
                    <w:overflowPunct/>
                    <w:topLinePunct w:val="0"/>
                    <w:autoSpaceDE/>
                    <w:autoSpaceDN/>
                    <w:bidi w:val="0"/>
                    <w:adjustRightInd/>
                    <w:snapToGrid/>
                    <w:spacing w:before="0" w:after="0" w:line="240" w:lineRule="auto"/>
                    <w:ind w:right="0"/>
                    <w:jc w:val="left"/>
                    <w:textAlignment w:val="auto"/>
                    <w:rPr>
                      <w:rFonts w:hint="default"/>
                      <w:sz w:val="18"/>
                      <w:szCs w:val="18"/>
                    </w:rPr>
                  </w:pPr>
                  <w:r>
                    <w:rPr>
                      <w:rFonts w:hint="default"/>
                      <w:sz w:val="18"/>
                      <w:szCs w:val="18"/>
                    </w:rPr>
                    <w:sym w:font="Wingdings 2" w:char="00A3"/>
                  </w:r>
                  <w:r>
                    <w:rPr>
                      <w:rFonts w:hint="default"/>
                      <w:sz w:val="18"/>
                      <w:szCs w:val="18"/>
                    </w:rPr>
                    <w:t>清净下水排放</w:t>
                  </w:r>
                </w:p>
                <w:p>
                  <w:pPr>
                    <w:pStyle w:val="6"/>
                    <w:keepNext w:val="0"/>
                    <w:keepLines w:val="0"/>
                    <w:pageBreakBefore w:val="0"/>
                    <w:kinsoku/>
                    <w:wordWrap/>
                    <w:overflowPunct/>
                    <w:topLinePunct w:val="0"/>
                    <w:autoSpaceDE/>
                    <w:autoSpaceDN/>
                    <w:bidi w:val="0"/>
                    <w:adjustRightInd/>
                    <w:snapToGrid/>
                    <w:spacing w:before="0" w:after="0" w:line="240" w:lineRule="auto"/>
                    <w:ind w:right="0"/>
                    <w:jc w:val="left"/>
                    <w:textAlignment w:val="auto"/>
                    <w:rPr>
                      <w:rFonts w:hint="default"/>
                      <w:sz w:val="18"/>
                      <w:szCs w:val="18"/>
                    </w:rPr>
                  </w:pPr>
                  <w:r>
                    <w:rPr>
                      <w:rFonts w:hint="default"/>
                      <w:sz w:val="18"/>
                      <w:szCs w:val="18"/>
                    </w:rPr>
                    <w:sym w:font="Wingdings 2" w:char="00A3"/>
                  </w:r>
                  <w:r>
                    <w:rPr>
                      <w:rFonts w:hint="default"/>
                      <w:sz w:val="18"/>
                      <w:szCs w:val="18"/>
                    </w:rPr>
                    <w:t>温排水排放</w:t>
                  </w:r>
                </w:p>
                <w:p>
                  <w:pPr>
                    <w:pStyle w:val="6"/>
                    <w:keepNext w:val="0"/>
                    <w:keepLines w:val="0"/>
                    <w:pageBreakBefore w:val="0"/>
                    <w:kinsoku/>
                    <w:wordWrap/>
                    <w:overflowPunct/>
                    <w:topLinePunct w:val="0"/>
                    <w:autoSpaceDE/>
                    <w:autoSpaceDN/>
                    <w:bidi w:val="0"/>
                    <w:adjustRightInd/>
                    <w:snapToGrid/>
                    <w:spacing w:before="0" w:after="0" w:line="240" w:lineRule="auto"/>
                    <w:ind w:right="0"/>
                    <w:jc w:val="left"/>
                    <w:textAlignment w:val="auto"/>
                    <w:rPr>
                      <w:rFonts w:hint="default"/>
                      <w:sz w:val="18"/>
                      <w:szCs w:val="18"/>
                    </w:rPr>
                  </w:pPr>
                  <w:r>
                    <w:rPr>
                      <w:rFonts w:hint="default"/>
                      <w:sz w:val="18"/>
                      <w:szCs w:val="18"/>
                    </w:rPr>
                    <w:sym w:font="Wingdings 2" w:char="00A3"/>
                  </w:r>
                  <w:r>
                    <w:rPr>
                      <w:rFonts w:hint="default"/>
                      <w:sz w:val="18"/>
                      <w:szCs w:val="18"/>
                    </w:rPr>
                    <w:t>车间或处理设施排放口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eastAsia" w:ascii="Times New Roman" w:hAnsi="Times New Roman" w:eastAsia="宋体" w:cs="Times New Roman"/>
                      <w:sz w:val="18"/>
                      <w:szCs w:val="18"/>
                      <w:lang w:val="en-US" w:eastAsia="zh-CN"/>
                    </w:rPr>
                    <w:t>循环冷却水</w:t>
                  </w:r>
                </w:p>
              </w:tc>
              <w:tc>
                <w:tcPr>
                  <w:tcW w:w="44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sz w:val="18"/>
                      <w:szCs w:val="18"/>
                    </w:rPr>
                  </w:pPr>
                </w:p>
              </w:tc>
              <w:tc>
                <w:tcPr>
                  <w:tcW w:w="42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59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10"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14"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397"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4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eastAsia"/>
                      <w:sz w:val="18"/>
                      <w:szCs w:val="18"/>
                      <w:lang w:val="en-US" w:eastAsia="zh-CN"/>
                    </w:rPr>
                  </w:pPr>
                </w:p>
              </w:tc>
              <w:tc>
                <w:tcPr>
                  <w:tcW w:w="247"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42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textAlignment w:val="auto"/>
                    <w:rPr>
                      <w:rFonts w:hint="default"/>
                      <w:sz w:val="18"/>
                      <w:szCs w:val="18"/>
                    </w:rPr>
                  </w:pPr>
                </w:p>
              </w:tc>
              <w:tc>
                <w:tcPr>
                  <w:tcW w:w="808"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left"/>
                    <w:textAlignment w:val="auto"/>
                    <w:rPr>
                      <w:rFonts w:hint="default"/>
                      <w:sz w:val="18"/>
                      <w:szCs w:val="18"/>
                    </w:rPr>
                  </w:pPr>
                </w:p>
              </w:tc>
            </w:tr>
          </w:tbl>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r>
              <w:rPr>
                <w:rFonts w:hint="default"/>
                <w:b/>
                <w:bCs/>
              </w:rPr>
              <w:t>表</w:t>
            </w:r>
            <w:r>
              <w:rPr>
                <w:rFonts w:hint="default"/>
                <w:b/>
                <w:bCs/>
                <w:lang w:val="en-US" w:eastAsia="zh-CN"/>
              </w:rPr>
              <w:t>4-</w:t>
            </w:r>
            <w:r>
              <w:rPr>
                <w:rFonts w:hint="eastAsia"/>
                <w:b/>
                <w:bCs/>
                <w:lang w:val="en-US" w:eastAsia="zh-CN"/>
              </w:rPr>
              <w:t xml:space="preserve">14 </w:t>
            </w:r>
            <w:r>
              <w:rPr>
                <w:rFonts w:hint="default"/>
                <w:b/>
                <w:bCs/>
              </w:rPr>
              <w:t xml:space="preserve"> 废水间接排放口基本信息表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
              <w:gridCol w:w="407"/>
              <w:gridCol w:w="636"/>
              <w:gridCol w:w="637"/>
              <w:gridCol w:w="688"/>
              <w:gridCol w:w="1012"/>
              <w:gridCol w:w="1188"/>
              <w:gridCol w:w="450"/>
              <w:gridCol w:w="350"/>
              <w:gridCol w:w="700"/>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序号</w:t>
                  </w:r>
                </w:p>
              </w:tc>
              <w:tc>
                <w:tcPr>
                  <w:tcW w:w="263"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排放口编号</w:t>
                  </w:r>
                </w:p>
              </w:tc>
              <w:tc>
                <w:tcPr>
                  <w:tcW w:w="824" w:type="pct"/>
                  <w:gridSpan w:val="2"/>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排放口地理坐标</w:t>
                  </w:r>
                </w:p>
              </w:tc>
              <w:tc>
                <w:tcPr>
                  <w:tcW w:w="445"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ascii="Times New Roman" w:hAnsi="Times New Roman" w:eastAsia="宋体" w:cs="Times New Roman"/>
                      <w:b/>
                      <w:bCs/>
                      <w:kern w:val="2"/>
                      <w:sz w:val="18"/>
                      <w:szCs w:val="18"/>
                      <w:lang w:val="en-US" w:eastAsia="zh-CN" w:bidi="ar-SA"/>
                    </w:rPr>
                    <w:t>废水排放量（万t/a）</w:t>
                  </w:r>
                </w:p>
              </w:tc>
              <w:tc>
                <w:tcPr>
                  <w:tcW w:w="655"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排放去向</w:t>
                  </w:r>
                </w:p>
              </w:tc>
              <w:tc>
                <w:tcPr>
                  <w:tcW w:w="769"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排放规律</w:t>
                  </w:r>
                </w:p>
              </w:tc>
              <w:tc>
                <w:tcPr>
                  <w:tcW w:w="291"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间歇排放时段</w:t>
                  </w:r>
                </w:p>
              </w:tc>
              <w:tc>
                <w:tcPr>
                  <w:tcW w:w="1539" w:type="pct"/>
                  <w:gridSpan w:val="3"/>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p>
              </w:tc>
              <w:tc>
                <w:tcPr>
                  <w:tcW w:w="26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p>
              </w:tc>
              <w:tc>
                <w:tcPr>
                  <w:tcW w:w="411"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经度</w:t>
                  </w:r>
                </w:p>
              </w:tc>
              <w:tc>
                <w:tcPr>
                  <w:tcW w:w="412"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纬度</w:t>
                  </w:r>
                </w:p>
              </w:tc>
              <w:tc>
                <w:tcPr>
                  <w:tcW w:w="44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p>
              </w:tc>
              <w:tc>
                <w:tcPr>
                  <w:tcW w:w="65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p>
              </w:tc>
              <w:tc>
                <w:tcPr>
                  <w:tcW w:w="76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p>
              </w:tc>
              <w:tc>
                <w:tcPr>
                  <w:tcW w:w="29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p>
              </w:tc>
              <w:tc>
                <w:tcPr>
                  <w:tcW w:w="226"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名称</w:t>
                  </w:r>
                </w:p>
              </w:tc>
              <w:tc>
                <w:tcPr>
                  <w:tcW w:w="453"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污染物种类</w:t>
                  </w:r>
                </w:p>
              </w:tc>
              <w:tc>
                <w:tcPr>
                  <w:tcW w:w="859" w:type="pc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b/>
                      <w:bCs/>
                      <w:sz w:val="18"/>
                      <w:szCs w:val="18"/>
                    </w:rPr>
                  </w:pPr>
                  <w:r>
                    <w:rPr>
                      <w:rFonts w:hint="default"/>
                      <w:b/>
                      <w:bCs/>
                      <w:sz w:val="18"/>
                      <w:szCs w:val="18"/>
                    </w:rPr>
                    <w:t>国家或地方污染物排放标注浓度限值</w:t>
                  </w:r>
                  <w:r>
                    <w:rPr>
                      <w:rFonts w:hint="default" w:ascii="Times New Roman" w:hAnsi="Times New Roman" w:eastAsia="宋体" w:cs="Times New Roman"/>
                      <w:b/>
                      <w:bCs/>
                      <w:kern w:val="2"/>
                      <w:sz w:val="18"/>
                      <w:szCs w:val="18"/>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263"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r>
                    <w:rPr>
                      <w:rFonts w:hint="default"/>
                      <w:sz w:val="18"/>
                      <w:szCs w:val="18"/>
                    </w:rPr>
                    <w:t>/</w:t>
                  </w:r>
                </w:p>
              </w:tc>
              <w:tc>
                <w:tcPr>
                  <w:tcW w:w="411"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cs="Times New Roman"/>
                      <w:sz w:val="18"/>
                      <w:szCs w:val="18"/>
                    </w:rPr>
                  </w:pPr>
                  <w:r>
                    <w:rPr>
                      <w:rFonts w:hint="default" w:ascii="Times New Roman" w:hAnsi="Times New Roman" w:cs="Times New Roman"/>
                      <w:sz w:val="18"/>
                      <w:szCs w:val="18"/>
                    </w:rPr>
                    <mc:AlternateContent>
                      <mc:Choice Requires="wps">
                        <w:drawing>
                          <wp:inline distT="0" distB="0" distL="114300" distR="114300">
                            <wp:extent cx="635" cy="0"/>
                            <wp:effectExtent l="0" t="0" r="0" b="0"/>
                            <wp:docPr id="50" name="矩形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w="9525" cap="flat" cmpd="sng">
                                      <a:solidFill>
                                        <a:srgbClr val="000000"/>
                                      </a:solidFill>
                                      <a:prstDash val="solid"/>
                                      <a:miter/>
                                      <a:headEnd type="none" w="med" len="med"/>
                                      <a:tailEnd type="none" w="med" len="med"/>
                                    </a:ln>
                                    <a:effectLst/>
                                  </wps:spPr>
                                  <wps:txbx>
                                    <w:txbxContent>
                                      <w:p>
                                        <w:pPr>
                                          <w:jc w:val="center"/>
                                        </w:pPr>
                                      </w:p>
                                    </w:txbxContent>
                                  </wps:txbx>
                                  <wps:bodyPr upright="1"/>
                                </wps:wsp>
                              </a:graphicData>
                            </a:graphic>
                          </wp:inline>
                        </w:drawing>
                      </mc:Choice>
                      <mc:Fallback>
                        <w:pict>
                          <v:rect id="_x0000_s1026" o:spid="_x0000_s1026" o:spt="1" style="height:0pt;width:0.05pt;" filled="f" stroked="t"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5CpzgAAAP8AAAAPAAAAAAAAAAEAIAAAACIAAABkcnMvZG93&#10;bnJldi54bWxQSwECFAAUAAAACACHTuJAC4chjQoCAAAzBAAADgAAAAAAAAABACAAAAAdAQAAZHJz&#10;L2Uyb0RvYy54bWxQSwUGAAAAAAYABgBZAQAAmQUAAAAA&#10;">
                            <v:fill on="f" focussize="0,0"/>
                            <v:stroke color="#000000" joinstyle="miter"/>
                            <v:imagedata o:title=""/>
                            <o:lock v:ext="edit" aspectratio="t"/>
                            <v:textbox>
                              <w:txbxContent>
                                <w:p>
                                  <w:pPr>
                                    <w:jc w:val="center"/>
                                  </w:pPr>
                                </w:p>
                              </w:txbxContent>
                            </v:textbox>
                            <w10:wrap type="none"/>
                            <w10:anchorlock/>
                          </v:rect>
                        </w:pict>
                      </mc:Fallback>
                    </mc:AlternateContent>
                  </w:r>
                  <w:r>
                    <w:rPr>
                      <w:rFonts w:hint="default" w:ascii="Times New Roman" w:hAnsi="Times New Roman" w:cs="Times New Roman"/>
                      <w:sz w:val="18"/>
                      <w:szCs w:val="18"/>
                    </w:rPr>
                    <w:t>120°39′54.827″</w:t>
                  </w:r>
                </w:p>
              </w:tc>
              <w:tc>
                <w:tcPr>
                  <w:tcW w:w="412"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cs="Times New Roman"/>
                      <w:sz w:val="18"/>
                      <w:szCs w:val="18"/>
                    </w:rPr>
                  </w:pPr>
                  <w:r>
                    <w:rPr>
                      <w:rFonts w:hint="default" w:ascii="Times New Roman" w:hAnsi="Times New Roman" w:cs="Times New Roman"/>
                      <w:sz w:val="18"/>
                      <w:szCs w:val="18"/>
                    </w:rPr>
                    <w:t>31°19′39.426″</w:t>
                  </w:r>
                </w:p>
              </w:tc>
              <w:tc>
                <w:tcPr>
                  <w:tcW w:w="44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16</w:t>
                  </w:r>
                  <w:r>
                    <w:rPr>
                      <w:rFonts w:hint="default" w:ascii="Times New Roman" w:hAnsi="Times New Roman" w:cs="Times New Roman"/>
                      <w:sz w:val="18"/>
                      <w:szCs w:val="18"/>
                      <w:lang w:val="en-US" w:eastAsia="zh-CN"/>
                    </w:rPr>
                    <w:t>00</w:t>
                  </w:r>
                </w:p>
              </w:tc>
              <w:tc>
                <w:tcPr>
                  <w:tcW w:w="655"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cs="Times New Roman"/>
                      <w:sz w:val="18"/>
                      <w:szCs w:val="18"/>
                    </w:rPr>
                  </w:pPr>
                  <w:r>
                    <w:rPr>
                      <w:rFonts w:hint="default" w:ascii="Times New Roman" w:hAnsi="Times New Roman" w:cs="Times New Roman"/>
                      <w:sz w:val="18"/>
                      <w:szCs w:val="18"/>
                    </w:rPr>
                    <w:t>依托厂房出租方的“污水总排口”排放进入城市污水厂</w:t>
                  </w:r>
                </w:p>
              </w:tc>
              <w:tc>
                <w:tcPr>
                  <w:tcW w:w="769"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r>
                    <w:rPr>
                      <w:rFonts w:hint="default"/>
                      <w:sz w:val="18"/>
                      <w:szCs w:val="18"/>
                    </w:rPr>
                    <w:t>间断排放，排放期间流量不稳定且无规律，但不属于冲击型排放</w:t>
                  </w:r>
                </w:p>
              </w:tc>
              <w:tc>
                <w:tcPr>
                  <w:tcW w:w="291"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r>
                    <w:rPr>
                      <w:rFonts w:hint="default"/>
                      <w:sz w:val="18"/>
                      <w:szCs w:val="18"/>
                    </w:rPr>
                    <w:t>全天</w:t>
                  </w:r>
                </w:p>
              </w:tc>
              <w:tc>
                <w:tcPr>
                  <w:tcW w:w="226" w:type="pct"/>
                  <w:vMerge w:val="restart"/>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r>
                    <w:rPr>
                      <w:rFonts w:hint="default"/>
                      <w:sz w:val="18"/>
                      <w:szCs w:val="18"/>
                    </w:rPr>
                    <w:t>园区污水处理厂</w:t>
                  </w:r>
                </w:p>
              </w:tc>
              <w:tc>
                <w:tcPr>
                  <w:tcW w:w="45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COD</w:t>
                  </w:r>
                </w:p>
              </w:tc>
              <w:tc>
                <w:tcPr>
                  <w:tcW w:w="85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lang w:val="en-US" w:eastAsia="zh-CN"/>
                    </w:rPr>
                  </w:pPr>
                  <w:r>
                    <w:rPr>
                      <w:rFonts w:hint="default"/>
                      <w:sz w:val="18"/>
                      <w:szCs w:val="18"/>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cs="Times New Roman"/>
                      <w:sz w:val="18"/>
                      <w:szCs w:val="18"/>
                    </w:rPr>
                  </w:pPr>
                </w:p>
              </w:tc>
              <w:tc>
                <w:tcPr>
                  <w:tcW w:w="26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4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65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76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9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2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5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氨氮</w:t>
                  </w:r>
                </w:p>
              </w:tc>
              <w:tc>
                <w:tcPr>
                  <w:tcW w:w="85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lang w:val="en-US" w:eastAsia="zh-CN"/>
                    </w:rPr>
                    <w:t>1.5</w:t>
                  </w:r>
                  <w:r>
                    <w:rPr>
                      <w:rFonts w:hint="default"/>
                      <w:sz w:val="18"/>
                      <w:szCs w:val="18"/>
                    </w:rPr>
                    <w:t>（</w:t>
                  </w:r>
                  <w:r>
                    <w:rPr>
                      <w:rFonts w:hint="default"/>
                      <w:sz w:val="18"/>
                      <w:szCs w:val="18"/>
                      <w:lang w:val="en-US" w:eastAsia="zh-CN"/>
                    </w:rPr>
                    <w:t>3</w:t>
                  </w:r>
                  <w:r>
                    <w:rPr>
                      <w:rFonts w:hint="default"/>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ascii="Times New Roman" w:hAnsi="Times New Roman" w:cs="Times New Roman"/>
                      <w:sz w:val="18"/>
                      <w:szCs w:val="18"/>
                    </w:rPr>
                  </w:pPr>
                </w:p>
              </w:tc>
              <w:tc>
                <w:tcPr>
                  <w:tcW w:w="26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4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65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76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9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2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5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总磷</w:t>
                  </w:r>
                </w:p>
              </w:tc>
              <w:tc>
                <w:tcPr>
                  <w:tcW w:w="85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lang w:eastAsia="zh-CN"/>
                    </w:rPr>
                  </w:pPr>
                  <w:r>
                    <w:rPr>
                      <w:rFonts w:hint="default"/>
                      <w:sz w:val="18"/>
                      <w:szCs w:val="18"/>
                    </w:rPr>
                    <w:t>0.</w:t>
                  </w:r>
                  <w:r>
                    <w:rPr>
                      <w:rFonts w:hint="default"/>
                      <w:sz w:val="18"/>
                      <w:szCs w:val="18"/>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6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4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65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76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9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2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5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pH</w:t>
                  </w:r>
                </w:p>
              </w:tc>
              <w:tc>
                <w:tcPr>
                  <w:tcW w:w="85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6~9（无量纲）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63"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12"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4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655"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769"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91"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226" w:type="pct"/>
                  <w:vMerge w:val="continue"/>
                  <w:tcBorders>
                    <w:tl2br w:val="nil"/>
                    <w:tr2bl w:val="nil"/>
                  </w:tcBorders>
                  <w:noWrap w:val="0"/>
                  <w:vAlign w:val="center"/>
                </w:tcPr>
                <w:p>
                  <w:pPr>
                    <w:pStyle w:val="6"/>
                    <w:keepNext w:val="0"/>
                    <w:keepLines w:val="0"/>
                    <w:pageBreakBefore w:val="0"/>
                    <w:kinsoku/>
                    <w:wordWrap/>
                    <w:overflowPunct/>
                    <w:topLinePunct w:val="0"/>
                    <w:autoSpaceDE/>
                    <w:autoSpaceDN/>
                    <w:bidi w:val="0"/>
                    <w:adjustRightInd/>
                    <w:snapToGrid/>
                    <w:spacing w:before="0" w:after="0" w:line="240" w:lineRule="auto"/>
                    <w:ind w:right="0"/>
                    <w:jc w:val="center"/>
                    <w:rPr>
                      <w:rFonts w:hint="default"/>
                      <w:sz w:val="18"/>
                      <w:szCs w:val="18"/>
                    </w:rPr>
                  </w:pPr>
                </w:p>
              </w:tc>
              <w:tc>
                <w:tcPr>
                  <w:tcW w:w="45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SS</w:t>
                  </w:r>
                </w:p>
              </w:tc>
              <w:tc>
                <w:tcPr>
                  <w:tcW w:w="85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rPr>
                      <w:rFonts w:hint="default"/>
                      <w:sz w:val="18"/>
                      <w:szCs w:val="18"/>
                    </w:rPr>
                  </w:pPr>
                  <w:r>
                    <w:rPr>
                      <w:rFonts w:hint="default"/>
                      <w:sz w:val="18"/>
                      <w:szCs w:val="18"/>
                    </w:rPr>
                    <w:t>10</w:t>
                  </w:r>
                </w:p>
              </w:tc>
            </w:tr>
          </w:tbl>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sz w:val="18"/>
                <w:szCs w:val="18"/>
              </w:rPr>
            </w:pPr>
            <w:r>
              <w:rPr>
                <w:rFonts w:hint="default"/>
                <w:sz w:val="18"/>
                <w:szCs w:val="18"/>
              </w:rPr>
              <w:t>*注：括号外数值为水温＞12℃时的控制指标，括号内数值为水温≤12℃时的控制指标。</w:t>
            </w: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lang w:eastAsia="zh-CN"/>
              </w:rPr>
            </w:pPr>
            <w:r>
              <w:rPr>
                <w:rFonts w:hint="default"/>
                <w:b/>
                <w:bCs/>
              </w:rPr>
              <w:t>表</w:t>
            </w:r>
            <w:r>
              <w:rPr>
                <w:rFonts w:hint="default"/>
                <w:b/>
                <w:bCs/>
                <w:lang w:val="en-US" w:eastAsia="zh-CN"/>
              </w:rPr>
              <w:t>4-</w:t>
            </w:r>
            <w:r>
              <w:rPr>
                <w:rFonts w:hint="eastAsia"/>
                <w:b/>
                <w:bCs/>
                <w:lang w:val="en-US" w:eastAsia="zh-CN"/>
              </w:rPr>
              <w:t xml:space="preserve">15 </w:t>
            </w:r>
            <w:r>
              <w:rPr>
                <w:rFonts w:hint="default"/>
                <w:b/>
                <w:bCs/>
              </w:rPr>
              <w:t xml:space="preserve"> </w:t>
            </w:r>
            <w:r>
              <w:rPr>
                <w:rFonts w:hint="default"/>
                <w:b/>
                <w:bCs/>
                <w:lang w:val="en-US" w:eastAsia="zh-CN"/>
              </w:rPr>
              <w:t>废水</w:t>
            </w:r>
            <w:r>
              <w:rPr>
                <w:rFonts w:hint="default"/>
                <w:b/>
                <w:bCs/>
              </w:rPr>
              <w:t>监测</w:t>
            </w:r>
            <w:r>
              <w:rPr>
                <w:rFonts w:hint="default"/>
                <w:b/>
                <w:bCs/>
                <w:lang w:val="en-US" w:eastAsia="zh-CN"/>
              </w:rPr>
              <w:t>要求</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302"/>
              <w:gridCol w:w="2328"/>
              <w:gridCol w:w="1100"/>
              <w:gridCol w:w="2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类别</w:t>
                  </w:r>
                </w:p>
              </w:tc>
              <w:tc>
                <w:tcPr>
                  <w:tcW w:w="843"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监测点位</w:t>
                  </w:r>
                </w:p>
              </w:tc>
              <w:tc>
                <w:tcPr>
                  <w:tcW w:w="150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监测项目</w:t>
                  </w:r>
                </w:p>
              </w:tc>
              <w:tc>
                <w:tcPr>
                  <w:tcW w:w="713"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监测频次</w:t>
                  </w:r>
                </w:p>
              </w:tc>
              <w:tc>
                <w:tcPr>
                  <w:tcW w:w="137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default"/>
                      <w:sz w:val="18"/>
                      <w:szCs w:val="18"/>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废水</w:t>
                  </w:r>
                </w:p>
              </w:tc>
              <w:tc>
                <w:tcPr>
                  <w:tcW w:w="843"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废水接管处</w:t>
                  </w:r>
                </w:p>
              </w:tc>
              <w:tc>
                <w:tcPr>
                  <w:tcW w:w="150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default" w:ascii="Times New Roman" w:hAnsi="Times New Roman" w:eastAsia="宋体" w:cs="Times New Roman"/>
                      <w:color w:val="auto"/>
                      <w:sz w:val="18"/>
                      <w:szCs w:val="18"/>
                      <w:highlight w:val="none"/>
                    </w:rPr>
                    <w:t>pH</w:t>
                  </w:r>
                  <w:r>
                    <w:rPr>
                      <w:rFonts w:hint="eastAsia" w:cs="Times New Roman"/>
                      <w:color w:val="auto"/>
                      <w:sz w:val="18"/>
                      <w:szCs w:val="18"/>
                      <w:highlight w:val="none"/>
                      <w:lang w:eastAsia="zh-CN"/>
                    </w:rPr>
                    <w:t>、</w:t>
                  </w:r>
                  <w:r>
                    <w:rPr>
                      <w:rFonts w:hint="default"/>
                      <w:sz w:val="18"/>
                      <w:szCs w:val="18"/>
                    </w:rPr>
                    <w:t>COD、</w:t>
                  </w:r>
                  <w:r>
                    <w:rPr>
                      <w:rFonts w:hint="default"/>
                      <w:sz w:val="18"/>
                      <w:szCs w:val="18"/>
                      <w:lang w:val="en-US" w:eastAsia="zh-CN"/>
                    </w:rPr>
                    <w:t>SS</w:t>
                  </w:r>
                  <w:r>
                    <w:rPr>
                      <w:rFonts w:hint="default"/>
                      <w:sz w:val="18"/>
                      <w:szCs w:val="18"/>
                    </w:rPr>
                    <w:t>、NH</w:t>
                  </w:r>
                  <w:r>
                    <w:rPr>
                      <w:rFonts w:hint="default"/>
                      <w:sz w:val="18"/>
                      <w:szCs w:val="18"/>
                      <w:vertAlign w:val="subscript"/>
                    </w:rPr>
                    <w:t>3</w:t>
                  </w:r>
                  <w:r>
                    <w:rPr>
                      <w:rFonts w:hint="default"/>
                      <w:sz w:val="18"/>
                      <w:szCs w:val="18"/>
                    </w:rPr>
                    <w:t>-N</w:t>
                  </w:r>
                  <w:r>
                    <w:rPr>
                      <w:rFonts w:hint="default"/>
                      <w:sz w:val="18"/>
                      <w:szCs w:val="18"/>
                      <w:lang w:eastAsia="zh-CN"/>
                    </w:rPr>
                    <w:t>、</w:t>
                  </w:r>
                  <w:r>
                    <w:rPr>
                      <w:rFonts w:hint="default"/>
                      <w:sz w:val="18"/>
                      <w:szCs w:val="18"/>
                    </w:rPr>
                    <w:t>TP</w:t>
                  </w:r>
                </w:p>
              </w:tc>
              <w:tc>
                <w:tcPr>
                  <w:tcW w:w="713"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eastAsia="zh-CN"/>
                    </w:rPr>
                  </w:pPr>
                  <w:r>
                    <w:rPr>
                      <w:rFonts w:hint="default"/>
                      <w:sz w:val="18"/>
                      <w:szCs w:val="18"/>
                      <w:lang w:val="en-US" w:eastAsia="zh-CN"/>
                    </w:rPr>
                    <w:t>1</w:t>
                  </w:r>
                  <w:r>
                    <w:rPr>
                      <w:rFonts w:hint="default"/>
                      <w:sz w:val="18"/>
                      <w:szCs w:val="18"/>
                    </w:rPr>
                    <w:t>次/</w:t>
                  </w:r>
                  <w:r>
                    <w:rPr>
                      <w:rFonts w:hint="eastAsia"/>
                      <w:sz w:val="18"/>
                      <w:szCs w:val="18"/>
                      <w:lang w:val="en-US" w:eastAsia="zh-CN"/>
                    </w:rPr>
                    <w:t>年</w:t>
                  </w:r>
                </w:p>
              </w:tc>
              <w:tc>
                <w:tcPr>
                  <w:tcW w:w="137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default" w:ascii="Times New Roman" w:hAnsi="Times New Roman" w:cs="Times New Roman"/>
                      <w:sz w:val="18"/>
                      <w:szCs w:val="18"/>
                    </w:rPr>
                    <w:t>（GB8978-1996）(GB/T</w:t>
                  </w:r>
                  <w:r>
                    <w:rPr>
                      <w:rFonts w:hint="eastAsia" w:cs="Times New Roman"/>
                      <w:sz w:val="18"/>
                      <w:szCs w:val="18"/>
                      <w:lang w:val="en-US" w:eastAsia="zh-CN"/>
                    </w:rPr>
                    <w:t xml:space="preserve"> </w:t>
                  </w:r>
                  <w:r>
                    <w:rPr>
                      <w:rFonts w:hint="default" w:ascii="Times New Roman" w:hAnsi="Times New Roman" w:cs="Times New Roman"/>
                      <w:sz w:val="18"/>
                      <w:szCs w:val="18"/>
                    </w:rPr>
                    <w:t>31962-2015)</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default"/>
              </w:rPr>
            </w:pPr>
            <w:r>
              <w:rPr>
                <w:rFonts w:hint="default"/>
              </w:rPr>
              <w:t>苏州工业园区污水处理厂位于苏州工业园区内，主要处理苏州工业园区内的生活污水及预处理后的生产废水。总设计规模为90万吨/日，主要处理苏州工业园区内的生活污水及预处理后的生产废水。污水处理采用A/A/O除磷脱氮处理工艺，污泥处理工艺采用重力浓缩、机械脱水工艺。污水处理达《关于高质量推进城乡生活污水治理三年行动计划的实施意见》（苏委办发〔2018〕77号）中的“苏州特别排放限值”和《城镇污水处理厂污染物排放标准》（GB18918-2002）中表1一级A标准后排入吴淞江。</w:t>
            </w:r>
            <w:r>
              <w:rPr>
                <w:rFonts w:hint="default"/>
                <w:lang w:val="en-US" w:eastAsia="zh-CN"/>
              </w:rPr>
              <w:t>园区污水处理厂的基本情况详见下表。</w:t>
            </w: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lang w:val="en-US" w:eastAsia="zh-CN"/>
              </w:rPr>
            </w:pPr>
            <w:r>
              <w:rPr>
                <w:rFonts w:hint="default"/>
                <w:b/>
                <w:bCs/>
              </w:rPr>
              <w:t>表</w:t>
            </w:r>
            <w:r>
              <w:rPr>
                <w:rFonts w:hint="default"/>
                <w:b/>
                <w:bCs/>
                <w:lang w:val="en-US" w:eastAsia="zh-CN"/>
              </w:rPr>
              <w:t>4-</w:t>
            </w:r>
            <w:r>
              <w:rPr>
                <w:rFonts w:hint="eastAsia"/>
                <w:b/>
                <w:bCs/>
                <w:lang w:val="en-US" w:eastAsia="zh-CN"/>
              </w:rPr>
              <w:t>16</w:t>
            </w:r>
            <w:r>
              <w:rPr>
                <w:rFonts w:hint="default"/>
                <w:b/>
                <w:bCs/>
              </w:rPr>
              <w:t xml:space="preserve"> </w:t>
            </w:r>
            <w:r>
              <w:rPr>
                <w:rFonts w:hint="eastAsia"/>
                <w:b/>
                <w:bCs/>
                <w:lang w:val="en-US" w:eastAsia="zh-CN"/>
              </w:rPr>
              <w:t xml:space="preserve"> </w:t>
            </w:r>
            <w:r>
              <w:rPr>
                <w:rFonts w:hint="default"/>
                <w:b/>
                <w:bCs/>
                <w:lang w:val="en-US" w:eastAsia="zh-CN"/>
              </w:rPr>
              <w:t>苏州工业园区污水处理厂基本信息一览表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179"/>
              <w:gridCol w:w="1220"/>
              <w:gridCol w:w="906"/>
              <w:gridCol w:w="886"/>
              <w:gridCol w:w="912"/>
              <w:gridCol w:w="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苏州工业园区污水处理厂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设计能力</w:t>
                  </w:r>
                </w:p>
              </w:tc>
              <w:tc>
                <w:tcPr>
                  <w:tcW w:w="3757"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rPr>
                  </w:pPr>
                  <w:r>
                    <w:rPr>
                      <w:rFonts w:hint="default"/>
                      <w:sz w:val="18"/>
                      <w:szCs w:val="18"/>
                    </w:rPr>
                    <w:t>苏州工业园区现有污水处理厂2座，污水综合处理厂1座，规划总污水处理能力90万立方米/日，主要处理苏州工业园区内的生活污水及预处理后的生产废水，现总处理能力为35万立方米/日，建成3万吨/日中水回用系统。园区乡镇区域供水和污水收集处理已实现100%覆盖，污水管网683km，污水泵站</w:t>
                  </w:r>
                  <w:r>
                    <w:rPr>
                      <w:rFonts w:hint="default"/>
                      <w:sz w:val="18"/>
                      <w:szCs w:val="18"/>
                      <w:lang w:val="en-US" w:eastAsia="zh-CN"/>
                    </w:rPr>
                    <w:t>43</w:t>
                  </w:r>
                  <w:r>
                    <w:rPr>
                      <w:rFonts w:hint="default"/>
                      <w:sz w:val="18"/>
                      <w:szCs w:val="18"/>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处理能力</w:t>
                  </w:r>
                </w:p>
              </w:tc>
              <w:tc>
                <w:tcPr>
                  <w:tcW w:w="3757"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35万立方米/日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进水水质要求</w:t>
                  </w: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pH</w:t>
                  </w: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COD</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SS</w:t>
                  </w:r>
                </w:p>
              </w:tc>
              <w:tc>
                <w:tcPr>
                  <w:tcW w:w="5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BOD</w:t>
                  </w:r>
                  <w:r>
                    <w:rPr>
                      <w:rFonts w:hint="default"/>
                      <w:sz w:val="18"/>
                      <w:szCs w:val="18"/>
                      <w:vertAlign w:val="subscript"/>
                      <w:lang w:val="en-US" w:eastAsia="zh-CN"/>
                    </w:rPr>
                    <w:t>5</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eastAsia"/>
                      <w:sz w:val="18"/>
                      <w:szCs w:val="18"/>
                      <w:lang w:val="en-US" w:eastAsia="zh-CN"/>
                    </w:rPr>
                    <w:t>氨氮</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eastAsia"/>
                      <w:sz w:val="18"/>
                      <w:szCs w:val="18"/>
                      <w:lang w:val="en-US" w:eastAsia="zh-CN"/>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rPr>
                  </w:pPr>
                </w:p>
              </w:tc>
              <w:tc>
                <w:tcPr>
                  <w:tcW w:w="76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6~9</w:t>
                  </w:r>
                </w:p>
              </w:tc>
              <w:tc>
                <w:tcPr>
                  <w:tcW w:w="79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≤500</w:t>
                  </w:r>
                </w:p>
              </w:tc>
              <w:tc>
                <w:tcPr>
                  <w:tcW w:w="58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≤400</w:t>
                  </w:r>
                </w:p>
              </w:tc>
              <w:tc>
                <w:tcPr>
                  <w:tcW w:w="57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≤300</w:t>
                  </w:r>
                </w:p>
              </w:tc>
              <w:tc>
                <w:tcPr>
                  <w:tcW w:w="59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≤45</w:t>
                  </w:r>
                </w:p>
              </w:tc>
              <w:tc>
                <w:tcPr>
                  <w:tcW w:w="45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尾水执行标准</w:t>
                  </w:r>
                </w:p>
              </w:tc>
              <w:tc>
                <w:tcPr>
                  <w:tcW w:w="3757"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sz w:val="18"/>
                      <w:szCs w:val="18"/>
                      <w:lang w:val="en-US" w:eastAsia="zh-CN"/>
                    </w:rPr>
                  </w:pPr>
                  <w:r>
                    <w:rPr>
                      <w:rFonts w:hint="default"/>
                      <w:sz w:val="18"/>
                      <w:szCs w:val="18"/>
                    </w:rPr>
                    <w:t>《关于高质量推进城乡生活污水治理三年行动计划的实施意见》（苏委办发〔2018〕77号）中的“苏州特别排放限值”</w:t>
                  </w:r>
                  <w:r>
                    <w:rPr>
                      <w:rFonts w:hint="eastAsia"/>
                      <w:sz w:val="18"/>
                      <w:szCs w:val="18"/>
                      <w:lang w:val="en-US" w:eastAsia="zh-CN"/>
                    </w:rPr>
                    <w:t>及</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rPr>
                  </w:pPr>
                  <w:r>
                    <w:rPr>
                      <w:rFonts w:hint="default"/>
                      <w:sz w:val="18"/>
                      <w:szCs w:val="18"/>
                    </w:rPr>
                    <w:t>《城镇污水处理厂污染物排放标准》（GB18918-2002）中表1一级A标准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纳污水体</w:t>
                  </w:r>
                </w:p>
              </w:tc>
              <w:tc>
                <w:tcPr>
                  <w:tcW w:w="3757" w:type="pct"/>
                  <w:gridSpan w:val="6"/>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sz w:val="18"/>
                      <w:szCs w:val="18"/>
                      <w:lang w:val="en-US" w:eastAsia="zh-CN"/>
                    </w:rPr>
                  </w:pPr>
                  <w:r>
                    <w:rPr>
                      <w:rFonts w:hint="default"/>
                      <w:sz w:val="18"/>
                      <w:szCs w:val="18"/>
                      <w:lang w:val="en-US" w:eastAsia="zh-CN"/>
                    </w:rPr>
                    <w:t>吴淞江</w:t>
                  </w:r>
                </w:p>
              </w:tc>
            </w:tr>
          </w:tbl>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default"/>
                <w:lang w:val="en-US" w:eastAsia="zh-CN"/>
              </w:rPr>
            </w:pPr>
            <w:r>
              <w:rPr>
                <w:rFonts w:hint="default"/>
              </w:rPr>
              <w:t>目前园区污水处理厂运行稳定，能够实现处理后废水的稳定达标排放；同时，根据分析，园区污水处理设施执行的排放标准均涵盖了本项目排放的污染物。</w:t>
            </w:r>
            <w:r>
              <w:rPr>
                <w:rFonts w:hint="default"/>
                <w:lang w:val="en-US" w:eastAsia="zh-CN"/>
              </w:rPr>
              <w:t>项目地周边配套完善，污水管网已铺设到位，项目租赁厂区已实现接管，本项目产生生活污水和</w:t>
            </w:r>
            <w:r>
              <w:rPr>
                <w:rFonts w:hint="eastAsia" w:ascii="Times New Roman" w:hAnsi="Times New Roman" w:cs="Times New Roman"/>
                <w:color w:val="auto"/>
                <w:sz w:val="21"/>
                <w:szCs w:val="21"/>
                <w:highlight w:val="none"/>
                <w:lang w:val="en-US" w:eastAsia="zh-CN"/>
              </w:rPr>
              <w:t>循环冷却水</w:t>
            </w:r>
            <w:r>
              <w:rPr>
                <w:rFonts w:hint="default"/>
                <w:lang w:val="en-US" w:eastAsia="zh-CN"/>
              </w:rPr>
              <w:t>，水质简单，污水排放浓度小于污水厂接管浓度要求，符合苏州工业园区污水处理厂的接管要求。</w:t>
            </w:r>
          </w:p>
          <w:p>
            <w:pPr>
              <w:keepNext w:val="0"/>
              <w:keepLines w:val="0"/>
              <w:pageBreakBefore w:val="0"/>
              <w:kinsoku/>
              <w:wordWrap/>
              <w:overflowPunct/>
              <w:topLinePunct w:val="0"/>
              <w:autoSpaceDE w:val="0"/>
              <w:autoSpaceDN w:val="0"/>
              <w:bidi w:val="0"/>
              <w:adjustRightInd/>
              <w:snapToGrid/>
              <w:spacing w:line="360" w:lineRule="auto"/>
              <w:ind w:firstLine="420" w:firstLineChars="200"/>
              <w:jc w:val="both"/>
              <w:textAlignment w:val="auto"/>
              <w:rPr>
                <w:rFonts w:hint="eastAsia"/>
                <w:b/>
                <w:bCs/>
                <w:sz w:val="21"/>
                <w:szCs w:val="21"/>
                <w:lang w:val="en-US" w:eastAsia="zh-CN"/>
              </w:rPr>
            </w:pPr>
            <w:r>
              <w:rPr>
                <w:rFonts w:hint="default"/>
                <w:lang w:val="en-US" w:eastAsia="zh-CN"/>
              </w:rPr>
              <w:t>综上所述，</w:t>
            </w:r>
            <w:r>
              <w:rPr>
                <w:rFonts w:hint="default"/>
              </w:rPr>
              <w:t>本项目</w:t>
            </w:r>
            <w:r>
              <w:rPr>
                <w:rFonts w:hint="default"/>
                <w:lang w:val="en-US" w:eastAsia="zh-CN"/>
              </w:rPr>
              <w:t>废水</w:t>
            </w:r>
            <w:r>
              <w:rPr>
                <w:rFonts w:hint="default"/>
              </w:rPr>
              <w:t>依托园区污水处理厂统一集中处理环境可行。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both"/>
              <w:textAlignment w:val="auto"/>
              <w:rPr>
                <w:rFonts w:hint="default"/>
                <w:b/>
                <w:bCs/>
                <w:sz w:val="21"/>
                <w:szCs w:val="21"/>
                <w:lang w:val="en-US" w:eastAsia="zh-CN"/>
              </w:rPr>
            </w:pPr>
            <w:r>
              <w:rPr>
                <w:rFonts w:hint="eastAsia"/>
                <w:b/>
                <w:bCs/>
                <w:sz w:val="21"/>
                <w:szCs w:val="21"/>
                <w:lang w:val="en-US" w:eastAsia="zh-CN"/>
              </w:rPr>
              <w:t>4、</w:t>
            </w:r>
            <w:r>
              <w:rPr>
                <w:rFonts w:hint="default"/>
                <w:b/>
                <w:bCs/>
                <w:sz w:val="21"/>
                <w:szCs w:val="21"/>
                <w:lang w:val="en-US" w:eastAsia="zh-CN"/>
              </w:rPr>
              <w:t>噪声</w:t>
            </w:r>
          </w:p>
          <w:p>
            <w:pPr>
              <w:pStyle w:val="29"/>
              <w:adjustRightInd w:val="0"/>
              <w:snapToGrid w:val="0"/>
              <w:spacing w:line="360" w:lineRule="auto"/>
              <w:ind w:firstLine="420" w:firstLineChars="200"/>
              <w:jc w:val="both"/>
              <w:rPr>
                <w:rFonts w:hint="default"/>
                <w:sz w:val="21"/>
                <w:szCs w:val="21"/>
              </w:rPr>
            </w:pPr>
            <w:r>
              <w:rPr>
                <w:rFonts w:hint="eastAsia"/>
                <w:sz w:val="21"/>
                <w:szCs w:val="21"/>
                <w:lang w:val="en-US" w:eastAsia="zh-CN"/>
              </w:rPr>
              <w:t>本</w:t>
            </w:r>
            <w:r>
              <w:rPr>
                <w:rFonts w:hint="default"/>
                <w:sz w:val="21"/>
                <w:szCs w:val="21"/>
              </w:rPr>
              <w:t>项目</w:t>
            </w:r>
            <w:r>
              <w:rPr>
                <w:rFonts w:hint="eastAsia"/>
                <w:sz w:val="21"/>
                <w:szCs w:val="21"/>
                <w:lang w:val="en-US" w:eastAsia="zh-CN"/>
              </w:rPr>
              <w:t>新增</w:t>
            </w:r>
            <w:r>
              <w:rPr>
                <w:rFonts w:hint="default"/>
                <w:sz w:val="21"/>
                <w:szCs w:val="21"/>
              </w:rPr>
              <w:t>噪</w:t>
            </w:r>
            <w:r>
              <w:rPr>
                <w:rFonts w:hint="default" w:ascii="Times New Roman" w:hAnsi="Times New Roman" w:cs="Times New Roman"/>
                <w:sz w:val="21"/>
                <w:szCs w:val="21"/>
              </w:rPr>
              <w:t>声源主要为注塑</w:t>
            </w:r>
            <w:r>
              <w:rPr>
                <w:rFonts w:hint="default" w:ascii="Times New Roman" w:hAnsi="Times New Roman" w:cs="Times New Roman"/>
                <w:sz w:val="21"/>
                <w:szCs w:val="21"/>
                <w:lang w:eastAsia="zh-CN"/>
              </w:rPr>
              <w:t>机</w:t>
            </w:r>
            <w:r>
              <w:rPr>
                <w:rFonts w:hint="default" w:ascii="Times New Roman" w:hAnsi="Times New Roman" w:cs="Times New Roman"/>
                <w:sz w:val="21"/>
                <w:szCs w:val="21"/>
              </w:rPr>
              <w:t>在运转时产生的噪声，噪声源强在6</w:t>
            </w: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~85dB（A）之间。经采用置于室内、隔声减振、</w:t>
            </w:r>
            <w:r>
              <w:rPr>
                <w:rFonts w:hint="default" w:ascii="Times New Roman" w:hAnsi="Times New Roman" w:cs="Times New Roman"/>
                <w:sz w:val="21"/>
                <w:szCs w:val="21"/>
                <w:lang w:eastAsia="zh-CN"/>
              </w:rPr>
              <w:t>距</w:t>
            </w:r>
            <w:r>
              <w:rPr>
                <w:rFonts w:hint="default" w:ascii="Times New Roman" w:hAnsi="Times New Roman" w:cs="Times New Roman"/>
                <w:sz w:val="21"/>
                <w:szCs w:val="21"/>
              </w:rPr>
              <w:t>离衰减等措施后，厂界噪声满足《工业企业厂界环境噪声排放标准》（GB1248-2008）中的3类标准要求</w:t>
            </w:r>
            <w:r>
              <w:rPr>
                <w:rFonts w:hint="default" w:ascii="Times New Roman" w:hAnsi="Times New Roman" w:cs="Times New Roman"/>
                <w:sz w:val="21"/>
                <w:szCs w:val="21"/>
                <w:lang w:eastAsia="zh-CN"/>
              </w:rPr>
              <w:t>，</w:t>
            </w:r>
            <w:r>
              <w:rPr>
                <w:rFonts w:hint="default" w:ascii="Times New Roman" w:hAnsi="Times New Roman" w:cs="Times New Roman"/>
                <w:sz w:val="21"/>
                <w:szCs w:val="21"/>
              </w:rPr>
              <w:t>能够达标排放。</w:t>
            </w:r>
          </w:p>
          <w:p>
            <w:pPr>
              <w:jc w:val="center"/>
              <w:rPr>
                <w:rFonts w:hint="default"/>
                <w:b/>
                <w:bCs/>
                <w:sz w:val="21"/>
                <w:szCs w:val="21"/>
              </w:rPr>
            </w:pPr>
            <w:r>
              <w:rPr>
                <w:rFonts w:hint="default"/>
                <w:b/>
                <w:bCs/>
                <w:sz w:val="21"/>
                <w:szCs w:val="21"/>
              </w:rPr>
              <w:t>表</w:t>
            </w:r>
            <w:r>
              <w:rPr>
                <w:rFonts w:hint="default"/>
                <w:b/>
                <w:bCs/>
                <w:sz w:val="21"/>
                <w:szCs w:val="21"/>
                <w:lang w:val="en-US" w:eastAsia="zh-CN"/>
              </w:rPr>
              <w:t>4-</w:t>
            </w:r>
            <w:r>
              <w:rPr>
                <w:rFonts w:hint="eastAsia"/>
                <w:b/>
                <w:bCs/>
                <w:sz w:val="21"/>
                <w:szCs w:val="21"/>
                <w:lang w:val="en-US" w:eastAsia="zh-CN"/>
              </w:rPr>
              <w:t xml:space="preserve">17 </w:t>
            </w:r>
            <w:r>
              <w:rPr>
                <w:rFonts w:hint="default"/>
                <w:b/>
                <w:bCs/>
                <w:sz w:val="21"/>
                <w:szCs w:val="21"/>
              </w:rPr>
              <w:t xml:space="preserve"> </w:t>
            </w:r>
            <w:r>
              <w:rPr>
                <w:rFonts w:hint="default"/>
                <w:b/>
                <w:bCs/>
                <w:sz w:val="21"/>
                <w:szCs w:val="21"/>
                <w:lang w:val="en-US" w:eastAsia="zh-CN"/>
              </w:rPr>
              <w:t>本</w:t>
            </w:r>
            <w:r>
              <w:rPr>
                <w:rFonts w:hint="default"/>
                <w:b/>
                <w:bCs/>
                <w:sz w:val="21"/>
                <w:szCs w:val="21"/>
              </w:rPr>
              <w:t>项目主要噪声源强</w:t>
            </w:r>
          </w:p>
          <w:tbl>
            <w:tblPr>
              <w:tblStyle w:val="16"/>
              <w:tblW w:w="78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14"/>
              <w:gridCol w:w="1072"/>
              <w:gridCol w:w="836"/>
              <w:gridCol w:w="2303"/>
              <w:gridCol w:w="900"/>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序号</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设备名称</w:t>
                  </w:r>
                </w:p>
              </w:tc>
              <w:tc>
                <w:tcPr>
                  <w:tcW w:w="10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数量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（台</w:t>
                  </w:r>
                  <w:r>
                    <w:rPr>
                      <w:rFonts w:hint="default"/>
                      <w:b/>
                      <w:bCs/>
                      <w:sz w:val="18"/>
                      <w:szCs w:val="18"/>
                      <w:lang w:val="en-US" w:eastAsia="zh-CN"/>
                    </w:rPr>
                    <w:t>/套</w:t>
                  </w:r>
                  <w:r>
                    <w:rPr>
                      <w:rFonts w:hint="default"/>
                      <w:b/>
                      <w:bCs/>
                      <w:sz w:val="18"/>
                      <w:szCs w:val="18"/>
                    </w:rPr>
                    <w:t>）</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源强dB(A)</w:t>
                  </w:r>
                </w:p>
              </w:tc>
              <w:tc>
                <w:tcPr>
                  <w:tcW w:w="2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治理措施</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lang w:val="en-US" w:eastAsia="zh-CN"/>
                    </w:rPr>
                  </w:pPr>
                  <w:r>
                    <w:rPr>
                      <w:rFonts w:hint="default"/>
                      <w:b/>
                      <w:bCs/>
                      <w:sz w:val="18"/>
                      <w:szCs w:val="18"/>
                      <w:lang w:val="en-US" w:eastAsia="zh-CN"/>
                    </w:rPr>
                    <w:t>排放强度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18"/>
                      <w:szCs w:val="18"/>
                    </w:rPr>
                  </w:pPr>
                  <w:r>
                    <w:rPr>
                      <w:rFonts w:hint="default"/>
                      <w:b/>
                      <w:bCs/>
                      <w:sz w:val="18"/>
                      <w:szCs w:val="18"/>
                    </w:rPr>
                    <w:t>dB(A)</w:t>
                  </w:r>
                </w:p>
              </w:tc>
              <w:tc>
                <w:tcPr>
                  <w:tcW w:w="1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rPr>
                  </w:pPr>
                  <w:r>
                    <w:rPr>
                      <w:rFonts w:hint="default" w:ascii="Times New Roman" w:hAnsi="Times New Roman" w:cs="Times New Roman"/>
                      <w:b/>
                      <w:bCs/>
                      <w:color w:val="000000"/>
                      <w:sz w:val="18"/>
                      <w:szCs w:val="18"/>
                    </w:rPr>
                    <w:t>距最近厂界距离（m）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rPr>
                  </w:pPr>
                  <w:r>
                    <w:rPr>
                      <w:rFonts w:hint="default"/>
                      <w:sz w:val="18"/>
                      <w:szCs w:val="18"/>
                    </w:rPr>
                    <w:t>1</w:t>
                  </w:r>
                </w:p>
              </w:tc>
              <w:tc>
                <w:tcPr>
                  <w:tcW w:w="1114" w:type="dxa"/>
                  <w:tcBorders>
                    <w:tl2br w:val="nil"/>
                    <w:tr2bl w:val="nil"/>
                  </w:tcBorders>
                  <w:noWrap w:val="0"/>
                  <w:vAlign w:val="center"/>
                </w:tcPr>
                <w:p>
                  <w:pPr>
                    <w:adjustRightInd w:val="0"/>
                    <w:snapToGrid w:val="0"/>
                    <w:jc w:val="center"/>
                    <w:rPr>
                      <w:rFonts w:hint="default"/>
                      <w:sz w:val="18"/>
                      <w:szCs w:val="18"/>
                    </w:rPr>
                  </w:pPr>
                  <w:r>
                    <w:rPr>
                      <w:rFonts w:hint="default"/>
                      <w:sz w:val="18"/>
                      <w:szCs w:val="18"/>
                      <w:lang w:eastAsia="zh-CN"/>
                    </w:rPr>
                    <w:t>注塑机</w:t>
                  </w:r>
                </w:p>
              </w:tc>
              <w:tc>
                <w:tcPr>
                  <w:tcW w:w="1072" w:type="dxa"/>
                  <w:tcBorders>
                    <w:tl2br w:val="nil"/>
                    <w:tr2bl w:val="nil"/>
                  </w:tcBorders>
                  <w:noWrap w:val="0"/>
                  <w:vAlign w:val="center"/>
                </w:tcPr>
                <w:p>
                  <w:pPr>
                    <w:jc w:val="center"/>
                    <w:rPr>
                      <w:rFonts w:hint="default"/>
                      <w:sz w:val="18"/>
                      <w:szCs w:val="18"/>
                      <w:lang w:val="en-US" w:eastAsia="zh-CN"/>
                    </w:rPr>
                  </w:pPr>
                  <w:r>
                    <w:rPr>
                      <w:rFonts w:hint="eastAsia"/>
                      <w:sz w:val="18"/>
                      <w:szCs w:val="18"/>
                      <w:lang w:val="en-US" w:eastAsia="zh-CN"/>
                    </w:rPr>
                    <w:t>5</w:t>
                  </w:r>
                </w:p>
              </w:tc>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lang w:val="en-US" w:eastAsia="zh-CN"/>
                    </w:rPr>
                  </w:pPr>
                  <w:r>
                    <w:rPr>
                      <w:rFonts w:hint="default"/>
                      <w:sz w:val="18"/>
                      <w:szCs w:val="18"/>
                    </w:rPr>
                    <w:t>6</w:t>
                  </w:r>
                  <w:r>
                    <w:rPr>
                      <w:rFonts w:hint="default"/>
                      <w:sz w:val="18"/>
                      <w:szCs w:val="18"/>
                      <w:lang w:val="en-US" w:eastAsia="zh-CN"/>
                    </w:rPr>
                    <w:t>5</w:t>
                  </w:r>
                  <w:r>
                    <w:rPr>
                      <w:rFonts w:hint="default"/>
                      <w:sz w:val="18"/>
                      <w:szCs w:val="18"/>
                    </w:rPr>
                    <w:t>~85</w:t>
                  </w:r>
                </w:p>
              </w:tc>
              <w:tc>
                <w:tcPr>
                  <w:tcW w:w="23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rPr>
                  </w:pPr>
                  <w:r>
                    <w:rPr>
                      <w:rFonts w:hint="default"/>
                      <w:sz w:val="18"/>
                      <w:szCs w:val="18"/>
                    </w:rPr>
                    <w:t>选用低噪声设备</w:t>
                  </w:r>
                  <w:r>
                    <w:rPr>
                      <w:rFonts w:hint="default"/>
                      <w:sz w:val="18"/>
                      <w:szCs w:val="18"/>
                      <w:lang w:eastAsia="zh-CN"/>
                    </w:rPr>
                    <w:t>，</w:t>
                  </w:r>
                  <w:r>
                    <w:rPr>
                      <w:rFonts w:hint="default"/>
                      <w:sz w:val="18"/>
                      <w:szCs w:val="18"/>
                    </w:rPr>
                    <w:t>通过合理布局，采用隔声、减震、厂区内绿化等措施</w:t>
                  </w:r>
                </w:p>
              </w:tc>
              <w:tc>
                <w:tcPr>
                  <w:tcW w:w="900" w:type="dxa"/>
                  <w:tcBorders>
                    <w:tl2br w:val="nil"/>
                    <w:tr2bl w:val="nil"/>
                  </w:tcBorders>
                  <w:noWrap w:val="0"/>
                  <w:vAlign w:val="center"/>
                </w:tcPr>
                <w:p>
                  <w:pPr>
                    <w:widowControl/>
                    <w:jc w:val="center"/>
                    <w:rPr>
                      <w:rFonts w:hint="default"/>
                      <w:sz w:val="18"/>
                      <w:szCs w:val="18"/>
                    </w:rPr>
                  </w:pP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6</w:t>
                  </w:r>
                  <w:r>
                    <w:rPr>
                      <w:rFonts w:hint="eastAsia" w:cs="Times New Roman"/>
                      <w:color w:val="auto"/>
                      <w:sz w:val="18"/>
                      <w:szCs w:val="18"/>
                      <w:highlight w:val="none"/>
                      <w:lang w:val="en-US" w:eastAsia="zh-CN"/>
                    </w:rPr>
                    <w:t>5</w:t>
                  </w:r>
                </w:p>
              </w:tc>
              <w:tc>
                <w:tcPr>
                  <w:tcW w:w="1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 w:val="18"/>
                      <w:szCs w:val="18"/>
                    </w:rPr>
                  </w:pPr>
                  <w:r>
                    <w:rPr>
                      <w:rFonts w:hint="default" w:ascii="Times New Roman" w:hAnsi="Times New Roman" w:cs="Times New Roman"/>
                      <w:sz w:val="18"/>
                      <w:szCs w:val="18"/>
                      <w:lang w:val="en-US" w:eastAsia="zh-CN"/>
                    </w:rPr>
                    <w:t>距</w:t>
                  </w:r>
                  <w:r>
                    <w:rPr>
                      <w:rFonts w:hint="eastAsia" w:cs="Times New Roman"/>
                      <w:sz w:val="18"/>
                      <w:szCs w:val="18"/>
                      <w:lang w:val="en-US" w:eastAsia="zh-CN"/>
                    </w:rPr>
                    <w:t>东</w:t>
                  </w:r>
                  <w:r>
                    <w:rPr>
                      <w:rFonts w:hint="default" w:ascii="Times New Roman" w:hAnsi="Times New Roman" w:cs="Times New Roman"/>
                      <w:sz w:val="18"/>
                      <w:szCs w:val="18"/>
                      <w:lang w:val="en-US" w:eastAsia="zh-CN"/>
                    </w:rPr>
                    <w:t>厂界</w:t>
                  </w:r>
                  <w:r>
                    <w:rPr>
                      <w:rFonts w:hint="eastAsia" w:cs="Times New Roman"/>
                      <w:sz w:val="18"/>
                      <w:szCs w:val="18"/>
                      <w:lang w:val="en-US" w:eastAsia="zh-CN"/>
                    </w:rPr>
                    <w:t>15</w:t>
                  </w:r>
                </w:p>
              </w:tc>
            </w:tr>
          </w:tbl>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表4-1</w:t>
            </w:r>
            <w:r>
              <w:rPr>
                <w:rFonts w:hint="eastAsia" w:cs="Times New Roman"/>
                <w:b/>
                <w:bCs/>
                <w:color w:val="auto"/>
                <w:kern w:val="0"/>
                <w:sz w:val="21"/>
                <w:szCs w:val="21"/>
                <w:highlight w:val="none"/>
                <w:lang w:val="en-US" w:eastAsia="zh-CN" w:bidi="ar-SA"/>
              </w:rPr>
              <w:t>8</w:t>
            </w:r>
            <w:r>
              <w:rPr>
                <w:rFonts w:hint="eastAsia" w:ascii="Times New Roman" w:hAnsi="Times New Roman" w:eastAsia="宋体" w:cs="Times New Roman"/>
                <w:b/>
                <w:bCs/>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1"/>
                <w:szCs w:val="21"/>
                <w:highlight w:val="none"/>
                <w:lang w:val="en-US" w:eastAsia="zh-CN" w:bidi="ar-SA"/>
              </w:rPr>
              <w:t xml:space="preserve">  厂界噪声预测结果</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16"/>
              <w:gridCol w:w="1394"/>
              <w:gridCol w:w="1224"/>
              <w:gridCol w:w="1224"/>
              <w:gridCol w:w="1224"/>
              <w:gridCol w:w="1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1" w:type="pct"/>
                  <w:gridSpan w:val="2"/>
                  <w:vMerge w:val="restar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类别</w:t>
                  </w:r>
                </w:p>
              </w:tc>
              <w:tc>
                <w:tcPr>
                  <w:tcW w:w="3178" w:type="pct"/>
                  <w:gridSpan w:val="4"/>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厂界各评价点等效声级[dB(A)]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1" w:type="pct"/>
                  <w:gridSpan w:val="2"/>
                  <w:vMerge w:val="continue"/>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rPr>
                  </w:pPr>
                </w:p>
              </w:tc>
              <w:tc>
                <w:tcPr>
                  <w:tcW w:w="79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东</w:t>
                  </w:r>
                </w:p>
              </w:tc>
              <w:tc>
                <w:tcPr>
                  <w:tcW w:w="79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南</w:t>
                  </w:r>
                </w:p>
              </w:tc>
              <w:tc>
                <w:tcPr>
                  <w:tcW w:w="79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西</w:t>
                  </w:r>
                </w:p>
              </w:tc>
              <w:tc>
                <w:tcPr>
                  <w:tcW w:w="796"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1" w:type="pct"/>
                  <w:gridSpan w:val="2"/>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贡献值</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46.5</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39.1</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35.2</w:t>
                  </w:r>
                </w:p>
              </w:tc>
              <w:tc>
                <w:tcPr>
                  <w:tcW w:w="796"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918" w:type="pct"/>
                  <w:vMerge w:val="restar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背景</w:t>
                  </w:r>
                  <w:r>
                    <w:rPr>
                      <w:rFonts w:hint="default" w:ascii="Times New Roman" w:hAnsi="Times New Roman" w:eastAsia="宋体" w:cs="Times New Roman"/>
                      <w:color w:val="auto"/>
                      <w:sz w:val="18"/>
                      <w:szCs w:val="18"/>
                      <w:highlight w:val="none"/>
                    </w:rPr>
                    <w:t>值</w:t>
                  </w:r>
                </w:p>
              </w:tc>
              <w:tc>
                <w:tcPr>
                  <w:tcW w:w="90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昼间</w:t>
                  </w:r>
                </w:p>
              </w:tc>
              <w:tc>
                <w:tcPr>
                  <w:tcW w:w="131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sz w:val="18"/>
                      <w:szCs w:val="18"/>
                      <w:lang w:val="en-US" w:eastAsia="zh-CN"/>
                    </w:rPr>
                    <w:t>54</w:t>
                  </w:r>
                </w:p>
              </w:tc>
              <w:tc>
                <w:tcPr>
                  <w:tcW w:w="131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sz w:val="18"/>
                      <w:szCs w:val="18"/>
                      <w:lang w:val="en-US" w:eastAsia="zh-CN"/>
                    </w:rPr>
                    <w:t>52</w:t>
                  </w:r>
                </w:p>
              </w:tc>
              <w:tc>
                <w:tcPr>
                  <w:tcW w:w="131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sz w:val="18"/>
                      <w:szCs w:val="18"/>
                      <w:lang w:val="en-US" w:eastAsia="zh-CN"/>
                    </w:rPr>
                    <w:t>55</w:t>
                  </w:r>
                </w:p>
              </w:tc>
              <w:tc>
                <w:tcPr>
                  <w:tcW w:w="1325"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sz w:val="18"/>
                      <w:szCs w:val="18"/>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918" w:type="pct"/>
                  <w:vMerge w:val="continue"/>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lang w:val="en-US" w:eastAsia="zh-CN"/>
                    </w:rPr>
                  </w:pPr>
                </w:p>
              </w:tc>
              <w:tc>
                <w:tcPr>
                  <w:tcW w:w="90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夜间</w:t>
                  </w:r>
                </w:p>
              </w:tc>
              <w:tc>
                <w:tcPr>
                  <w:tcW w:w="131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eastAsia" w:cs="Times New Roman"/>
                      <w:color w:val="auto"/>
                      <w:kern w:val="0"/>
                      <w:sz w:val="18"/>
                      <w:szCs w:val="18"/>
                      <w:highlight w:val="none"/>
                      <w:lang w:val="en-US" w:eastAsia="zh-CN"/>
                    </w:rPr>
                  </w:pPr>
                  <w:r>
                    <w:rPr>
                      <w:rFonts w:hint="eastAsia" w:ascii="Times New Roman" w:hAnsi="Times New Roman" w:cs="Times New Roman"/>
                      <w:sz w:val="18"/>
                      <w:szCs w:val="18"/>
                      <w:lang w:val="en-US" w:eastAsia="zh-CN"/>
                    </w:rPr>
                    <w:t>47</w:t>
                  </w:r>
                </w:p>
              </w:tc>
              <w:tc>
                <w:tcPr>
                  <w:tcW w:w="131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eastAsia" w:cs="Times New Roman"/>
                      <w:color w:val="auto"/>
                      <w:sz w:val="18"/>
                      <w:szCs w:val="18"/>
                      <w:highlight w:val="none"/>
                      <w:lang w:val="en-US" w:eastAsia="zh-CN"/>
                    </w:rPr>
                  </w:pPr>
                  <w:r>
                    <w:rPr>
                      <w:rFonts w:hint="eastAsia" w:ascii="Times New Roman" w:hAnsi="Times New Roman" w:cs="Times New Roman"/>
                      <w:sz w:val="18"/>
                      <w:szCs w:val="18"/>
                      <w:lang w:val="en-US" w:eastAsia="zh-CN"/>
                    </w:rPr>
                    <w:t>47</w:t>
                  </w:r>
                </w:p>
              </w:tc>
              <w:tc>
                <w:tcPr>
                  <w:tcW w:w="1314"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eastAsia" w:cs="Times New Roman"/>
                      <w:color w:val="auto"/>
                      <w:sz w:val="18"/>
                      <w:szCs w:val="18"/>
                      <w:highlight w:val="none"/>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8</w:t>
                  </w:r>
                </w:p>
              </w:tc>
              <w:tc>
                <w:tcPr>
                  <w:tcW w:w="1325" w:type="dxa"/>
                  <w:tcBorders>
                    <w:tl2br w:val="nil"/>
                    <w:tr2bl w:val="nil"/>
                  </w:tcBorders>
                  <w:noWrap w:val="0"/>
                  <w:vAlign w:val="center"/>
                </w:tcPr>
                <w:p>
                  <w:pPr>
                    <w:pStyle w:val="29"/>
                    <w:adjustRightInd w:val="0"/>
                    <w:snapToGrid w:val="0"/>
                    <w:spacing w:line="240" w:lineRule="auto"/>
                    <w:ind w:left="0" w:leftChars="0" w:firstLine="0" w:firstLineChars="0"/>
                    <w:jc w:val="center"/>
                    <w:rPr>
                      <w:rFonts w:hint="eastAsia" w:cs="Times New Roman"/>
                      <w:color w:val="auto"/>
                      <w:sz w:val="18"/>
                      <w:szCs w:val="18"/>
                      <w:highlight w:val="none"/>
                      <w:lang w:val="en-US" w:eastAsia="zh-CN"/>
                    </w:rPr>
                  </w:pPr>
                  <w:r>
                    <w:rPr>
                      <w:rFonts w:hint="default" w:ascii="Times New Roman" w:hAnsi="Times New Roman" w:cs="Times New Roman"/>
                      <w:sz w:val="18"/>
                      <w:szCs w:val="18"/>
                    </w:rPr>
                    <w:t>4</w:t>
                  </w:r>
                  <w:r>
                    <w:rPr>
                      <w:rFonts w:hint="eastAsia" w:ascii="Times New Roman" w:hAnsi="Times New Roman" w:cs="Times New Roman"/>
                      <w:sz w:val="18"/>
                      <w:szCs w:val="18"/>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18" w:type="pct"/>
                  <w:vMerge w:val="restar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预测</w:t>
                  </w:r>
                  <w:r>
                    <w:rPr>
                      <w:rFonts w:hint="default" w:ascii="Times New Roman" w:hAnsi="Times New Roman" w:eastAsia="宋体" w:cs="Times New Roman"/>
                      <w:color w:val="auto"/>
                      <w:sz w:val="18"/>
                      <w:szCs w:val="18"/>
                      <w:highlight w:val="none"/>
                    </w:rPr>
                    <w:t>值</w:t>
                  </w:r>
                </w:p>
              </w:tc>
              <w:tc>
                <w:tcPr>
                  <w:tcW w:w="90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昼间</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54.7</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52.2</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c>
                <w:tcPr>
                  <w:tcW w:w="796"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918" w:type="pct"/>
                  <w:vMerge w:val="continue"/>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lang w:val="en-US" w:eastAsia="zh-CN"/>
                    </w:rPr>
                  </w:pPr>
                </w:p>
              </w:tc>
              <w:tc>
                <w:tcPr>
                  <w:tcW w:w="903" w:type="pct"/>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夜间</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49.8</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47.7</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48.2</w:t>
                  </w:r>
                </w:p>
              </w:tc>
              <w:tc>
                <w:tcPr>
                  <w:tcW w:w="796"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000" w:type="pct"/>
                  <w:gridSpan w:val="6"/>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3类标准：昼间≤65 dB(A)</w:t>
                  </w:r>
                  <w:r>
                    <w:rPr>
                      <w:rFonts w:hint="eastAsia" w:cs="Times New Roman"/>
                      <w:color w:val="auto"/>
                      <w:kern w:val="0"/>
                      <w:sz w:val="18"/>
                      <w:szCs w:val="18"/>
                      <w:highlight w:val="none"/>
                      <w:lang w:val="en-US" w:eastAsia="zh-CN"/>
                    </w:rPr>
                    <w:t>，夜</w:t>
                  </w:r>
                  <w:r>
                    <w:rPr>
                      <w:rFonts w:hint="eastAsia" w:ascii="Times New Roman" w:hAnsi="Times New Roman" w:eastAsia="宋体" w:cs="Times New Roman"/>
                      <w:color w:val="auto"/>
                      <w:kern w:val="0"/>
                      <w:sz w:val="18"/>
                      <w:szCs w:val="18"/>
                      <w:highlight w:val="none"/>
                      <w:lang w:val="en-US" w:eastAsia="zh-CN"/>
                    </w:rPr>
                    <w:t>间≤</w:t>
                  </w:r>
                  <w:r>
                    <w:rPr>
                      <w:rFonts w:hint="eastAsia" w:cs="Times New Roman"/>
                      <w:color w:val="auto"/>
                      <w:kern w:val="0"/>
                      <w:sz w:val="18"/>
                      <w:szCs w:val="18"/>
                      <w:highlight w:val="none"/>
                      <w:lang w:val="en-US" w:eastAsia="zh-CN"/>
                    </w:rPr>
                    <w:t>5</w:t>
                  </w:r>
                  <w:r>
                    <w:rPr>
                      <w:rFonts w:hint="eastAsia" w:ascii="Times New Roman" w:hAnsi="Times New Roman" w:eastAsia="宋体" w:cs="Times New Roman"/>
                      <w:color w:val="auto"/>
                      <w:kern w:val="0"/>
                      <w:sz w:val="18"/>
                      <w:szCs w:val="18"/>
                      <w:highlight w:val="none"/>
                      <w:lang w:val="en-US" w:eastAsia="zh-CN"/>
                    </w:rPr>
                    <w:t>5 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821" w:type="pct"/>
                  <w:gridSpan w:val="2"/>
                  <w:tcBorders>
                    <w:tl2br w:val="nil"/>
                    <w:tr2bl w:val="nil"/>
                  </w:tcBorders>
                  <w:noWrap w:val="0"/>
                  <w:vAlign w:val="center"/>
                </w:tcPr>
                <w:p>
                  <w:pPr>
                    <w:pStyle w:val="29"/>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达标情况</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eastAsia"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达标</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达标</w:t>
                  </w:r>
                </w:p>
              </w:tc>
              <w:tc>
                <w:tcPr>
                  <w:tcW w:w="793"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rPr>
                    <w:t>达标</w:t>
                  </w:r>
                </w:p>
              </w:tc>
              <w:tc>
                <w:tcPr>
                  <w:tcW w:w="796" w:type="pct"/>
                  <w:tcBorders>
                    <w:tl2br w:val="nil"/>
                    <w:tr2bl w:val="nil"/>
                  </w:tcBorders>
                  <w:noWrap w:val="0"/>
                  <w:vAlign w:val="center"/>
                </w:tcPr>
                <w:p>
                  <w:pPr>
                    <w:keepNext w:val="0"/>
                    <w:keepLines w:val="0"/>
                    <w:pageBreakBefore w:val="0"/>
                    <w:widowControl/>
                    <w:kinsoku/>
                    <w:wordWrap/>
                    <w:overflowPunct/>
                    <w:topLinePunct w:val="0"/>
                    <w:autoSpaceDE/>
                    <w:autoSpaceDN/>
                    <w:bidi w:val="0"/>
                    <w:ind w:firstLine="0" w:firstLineChars="0"/>
                    <w:jc w:val="center"/>
                    <w:textAlignment w:val="center"/>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rPr>
                    <w:t>达标</w:t>
                  </w:r>
                </w:p>
              </w:tc>
            </w:tr>
          </w:tbl>
          <w:p>
            <w:pPr>
              <w:jc w:val="center"/>
              <w:rPr>
                <w:rFonts w:hint="default"/>
                <w:b/>
                <w:bCs/>
              </w:rPr>
            </w:pPr>
          </w:p>
          <w:p>
            <w:pPr>
              <w:jc w:val="center"/>
              <w:rPr>
                <w:rFonts w:hint="default"/>
                <w:b/>
                <w:bCs/>
              </w:rPr>
            </w:pPr>
          </w:p>
          <w:p>
            <w:pPr>
              <w:jc w:val="center"/>
              <w:rPr>
                <w:rFonts w:hint="default"/>
                <w:b/>
                <w:bCs/>
              </w:rPr>
            </w:pPr>
          </w:p>
          <w:p>
            <w:pPr>
              <w:jc w:val="center"/>
              <w:rPr>
                <w:rFonts w:hint="default"/>
                <w:b/>
                <w:bCs/>
              </w:rPr>
            </w:pPr>
            <w:r>
              <w:rPr>
                <w:rFonts w:hint="default"/>
                <w:b/>
                <w:bCs/>
              </w:rPr>
              <w:t>表</w:t>
            </w:r>
            <w:r>
              <w:rPr>
                <w:rFonts w:hint="default"/>
                <w:b/>
                <w:bCs/>
                <w:lang w:val="en-US" w:eastAsia="zh-CN"/>
              </w:rPr>
              <w:t>4-1</w:t>
            </w:r>
            <w:r>
              <w:rPr>
                <w:rFonts w:hint="eastAsia"/>
                <w:b/>
                <w:bCs/>
                <w:lang w:val="en-US" w:eastAsia="zh-CN"/>
              </w:rPr>
              <w:t xml:space="preserve">9 </w:t>
            </w:r>
            <w:r>
              <w:rPr>
                <w:rFonts w:hint="default"/>
                <w:b/>
                <w:bCs/>
                <w:lang w:val="en-US" w:eastAsia="zh-CN"/>
              </w:rPr>
              <w:t xml:space="preserve"> 噪声</w:t>
            </w:r>
            <w:r>
              <w:rPr>
                <w:rFonts w:hint="default"/>
                <w:b/>
                <w:bCs/>
              </w:rPr>
              <w:t>监测</w:t>
            </w:r>
            <w:r>
              <w:rPr>
                <w:rFonts w:hint="default"/>
                <w:b/>
                <w:bCs/>
                <w:lang w:val="en-US" w:eastAsia="zh-CN"/>
              </w:rPr>
              <w:t>要求</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213"/>
              <w:gridCol w:w="1891"/>
              <w:gridCol w:w="2793"/>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运营期</w:t>
                  </w:r>
                </w:p>
              </w:tc>
              <w:tc>
                <w:tcPr>
                  <w:tcW w:w="78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类别</w:t>
                  </w:r>
                </w:p>
              </w:tc>
              <w:tc>
                <w:tcPr>
                  <w:tcW w:w="122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监测点位</w:t>
                  </w:r>
                </w:p>
              </w:tc>
              <w:tc>
                <w:tcPr>
                  <w:tcW w:w="180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监测项目</w:t>
                  </w:r>
                </w:p>
              </w:tc>
              <w:tc>
                <w:tcPr>
                  <w:tcW w:w="78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9" w:type="pct"/>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rPr>
                      <w:rFonts w:hint="default"/>
                      <w:sz w:val="18"/>
                      <w:szCs w:val="18"/>
                    </w:rPr>
                  </w:pPr>
                </w:p>
              </w:tc>
              <w:tc>
                <w:tcPr>
                  <w:tcW w:w="78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噪声</w:t>
                  </w:r>
                </w:p>
              </w:tc>
              <w:tc>
                <w:tcPr>
                  <w:tcW w:w="122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厂界</w:t>
                  </w:r>
                </w:p>
              </w:tc>
              <w:tc>
                <w:tcPr>
                  <w:tcW w:w="1808"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default"/>
                      <w:sz w:val="18"/>
                      <w:szCs w:val="18"/>
                    </w:rPr>
                    <w:t>等效A声级</w:t>
                  </w:r>
                </w:p>
              </w:tc>
              <w:tc>
                <w:tcPr>
                  <w:tcW w:w="78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eastAsia="zh-CN"/>
                    </w:rPr>
                  </w:pPr>
                  <w:r>
                    <w:rPr>
                      <w:rFonts w:hint="default"/>
                      <w:sz w:val="18"/>
                      <w:szCs w:val="18"/>
                      <w:lang w:val="en-US" w:eastAsia="zh-CN"/>
                    </w:rPr>
                    <w:t>1</w:t>
                  </w:r>
                  <w:r>
                    <w:rPr>
                      <w:rFonts w:hint="default"/>
                      <w:sz w:val="18"/>
                      <w:szCs w:val="18"/>
                    </w:rPr>
                    <w:t>次/</w:t>
                  </w:r>
                  <w:r>
                    <w:rPr>
                      <w:rFonts w:hint="default"/>
                      <w:sz w:val="18"/>
                      <w:szCs w:val="18"/>
                      <w:lang w:val="en-US" w:eastAsia="zh-CN"/>
                    </w:rPr>
                    <w:t>季度</w:t>
                  </w:r>
                </w:p>
              </w:tc>
            </w:tr>
          </w:tbl>
          <w:p>
            <w:pPr>
              <w:pStyle w:val="6"/>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left="420" w:leftChars="0" w:right="0" w:rightChars="0"/>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5、</w:t>
            </w:r>
            <w:r>
              <w:rPr>
                <w:rFonts w:hint="default" w:ascii="Times New Roman" w:hAnsi="Times New Roman" w:eastAsia="宋体" w:cs="Times New Roman"/>
                <w:b/>
                <w:bCs/>
                <w:sz w:val="21"/>
                <w:szCs w:val="21"/>
                <w:lang w:val="en-US" w:eastAsia="zh-CN"/>
              </w:rPr>
              <w:t>固体废物</w:t>
            </w:r>
          </w:p>
          <w:p>
            <w:pPr>
              <w:pStyle w:val="29"/>
              <w:adjustRightInd w:val="0"/>
              <w:snapToGrid w:val="0"/>
              <w:spacing w:line="360" w:lineRule="auto"/>
              <w:ind w:firstLine="420" w:firstLineChars="200"/>
              <w:jc w:val="both"/>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本</w:t>
            </w:r>
            <w:r>
              <w:rPr>
                <w:rFonts w:hint="default" w:ascii="Times New Roman" w:hAnsi="Times New Roman" w:eastAsia="宋体" w:cs="Times New Roman"/>
                <w:sz w:val="21"/>
                <w:szCs w:val="21"/>
              </w:rPr>
              <w:t>项目生产过程中产生的各种固体废物主要有：</w:t>
            </w:r>
            <w:r>
              <w:rPr>
                <w:rFonts w:hint="eastAsia" w:ascii="Times New Roman" w:hAnsi="Times New Roman" w:cs="Times New Roman"/>
                <w:sz w:val="21"/>
                <w:szCs w:val="21"/>
                <w:lang w:val="en-US" w:eastAsia="zh-CN"/>
              </w:rPr>
              <w:t>废塑料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废包装材料、废活性炭、生活垃圾等。</w:t>
            </w:r>
          </w:p>
          <w:p>
            <w:pPr>
              <w:pStyle w:val="29"/>
              <w:adjustRightInd w:val="0"/>
              <w:snapToGrid w:val="0"/>
              <w:spacing w:line="360" w:lineRule="auto"/>
              <w:ind w:firstLine="422" w:firstLineChars="200"/>
              <w:jc w:val="both"/>
              <w:rPr>
                <w:rFonts w:hint="default" w:ascii="Times New Roman" w:hAnsi="Times New Roman" w:eastAsia="宋体" w:cs="Times New Roman"/>
                <w:sz w:val="21"/>
                <w:szCs w:val="21"/>
              </w:rPr>
            </w:pPr>
            <w:r>
              <w:rPr>
                <w:rFonts w:hint="eastAsia" w:ascii="Times New Roman" w:hAnsi="Times New Roman" w:cs="Times New Roman"/>
                <w:b/>
                <w:bCs/>
                <w:sz w:val="21"/>
                <w:szCs w:val="21"/>
                <w:lang w:val="en-US" w:eastAsia="zh-CN"/>
              </w:rPr>
              <w:t>废塑</w:t>
            </w:r>
            <w:r>
              <w:rPr>
                <w:rFonts w:hint="default" w:ascii="Times New Roman" w:hAnsi="Times New Roman" w:eastAsia="宋体" w:cs="Times New Roman"/>
                <w:b/>
                <w:bCs/>
                <w:sz w:val="21"/>
                <w:szCs w:val="21"/>
              </w:rPr>
              <w:t>料</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sz w:val="21"/>
                <w:szCs w:val="21"/>
                <w:lang w:eastAsia="zh-CN"/>
              </w:rPr>
              <w:t>企业</w:t>
            </w:r>
            <w:r>
              <w:rPr>
                <w:rFonts w:hint="default" w:ascii="Times New Roman" w:hAnsi="Times New Roman" w:eastAsia="宋体" w:cs="Times New Roman"/>
                <w:sz w:val="21"/>
                <w:szCs w:val="21"/>
                <w:lang w:val="en-US" w:eastAsia="zh-CN"/>
              </w:rPr>
              <w:t>在注塑过程中产生边角料</w:t>
            </w:r>
            <w:r>
              <w:rPr>
                <w:rFonts w:hint="eastAsia" w:ascii="Times New Roman" w:hAnsi="Times New Roman" w:cs="Times New Roman"/>
                <w:sz w:val="21"/>
                <w:szCs w:val="21"/>
                <w:lang w:val="en-US" w:eastAsia="zh-CN"/>
              </w:rPr>
              <w:t>0.5</w:t>
            </w:r>
            <w:r>
              <w:rPr>
                <w:rFonts w:hint="default" w:ascii="Times New Roman" w:hAnsi="Times New Roman" w:eastAsia="宋体" w:cs="Times New Roman"/>
                <w:sz w:val="21"/>
                <w:szCs w:val="21"/>
              </w:rPr>
              <w:t>t/a，边角料成分为塑料，作为工业固废外售；</w:t>
            </w:r>
          </w:p>
          <w:p>
            <w:pPr>
              <w:pStyle w:val="29"/>
              <w:adjustRightInd w:val="0"/>
              <w:snapToGrid w:val="0"/>
              <w:spacing w:line="360" w:lineRule="auto"/>
              <w:ind w:firstLine="422"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废包装材料：</w:t>
            </w:r>
            <w:r>
              <w:rPr>
                <w:rFonts w:hint="default" w:ascii="Times New Roman" w:hAnsi="Times New Roman" w:eastAsia="宋体" w:cs="Times New Roman"/>
                <w:sz w:val="21"/>
                <w:szCs w:val="21"/>
                <w:lang w:val="en-US" w:eastAsia="zh-CN"/>
              </w:rPr>
              <w:t>在生产过程中会产生废包装材料</w:t>
            </w:r>
            <w:r>
              <w:rPr>
                <w:rFonts w:hint="eastAsia" w:ascii="Times New Roman" w:hAnsi="Times New Roman" w:cs="Times New Roman"/>
                <w:sz w:val="21"/>
                <w:szCs w:val="21"/>
                <w:lang w:val="en-US" w:eastAsia="zh-CN"/>
              </w:rPr>
              <w:t>0.5</w:t>
            </w:r>
            <w:r>
              <w:rPr>
                <w:rFonts w:hint="default" w:ascii="Times New Roman" w:hAnsi="Times New Roman" w:eastAsia="宋体" w:cs="Times New Roman"/>
                <w:sz w:val="21"/>
                <w:szCs w:val="21"/>
                <w:lang w:val="en-US" w:eastAsia="zh-CN"/>
              </w:rPr>
              <w:t>t/a，作为工业固废外售；</w:t>
            </w:r>
          </w:p>
          <w:p>
            <w:pPr>
              <w:pStyle w:val="29"/>
              <w:adjustRightInd w:val="0"/>
              <w:snapToGrid w:val="0"/>
              <w:spacing w:line="360" w:lineRule="auto"/>
              <w:ind w:firstLine="422"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rPr>
              <w:t>废活性炭</w:t>
            </w:r>
            <w:r>
              <w:rPr>
                <w:rFonts w:hint="default" w:ascii="Times New Roman" w:hAnsi="Times New Roman" w:eastAsia="宋体" w:cs="Times New Roman"/>
                <w:b/>
                <w:bCs/>
                <w:sz w:val="21"/>
                <w:szCs w:val="21"/>
                <w:lang w:eastAsia="zh-CN"/>
              </w:rPr>
              <w:t>：</w:t>
            </w:r>
            <w:r>
              <w:rPr>
                <w:rFonts w:hint="eastAsia" w:ascii="Times New Roman" w:hAnsi="Times New Roman" w:eastAsia="宋体" w:cs="Times New Roman"/>
                <w:color w:val="auto"/>
                <w:sz w:val="21"/>
                <w:szCs w:val="21"/>
                <w:highlight w:val="none"/>
                <w:lang w:val="en-US" w:eastAsia="zh-CN"/>
              </w:rPr>
              <w:t>依据</w:t>
            </w:r>
            <w:r>
              <w:rPr>
                <w:rFonts w:hint="eastAsia" w:ascii="Times New Roman" w:hAnsi="Times New Roman" w:cs="Times New Roman"/>
                <w:color w:val="auto"/>
                <w:sz w:val="21"/>
                <w:szCs w:val="21"/>
                <w:lang w:val="en-US" w:eastAsia="zh-CN"/>
              </w:rPr>
              <w:t>省生态环境厅关于将排污单位活性炭使用更换纳入排污许可管理的通知（苏环办〔2021〕218号）的要求，</w:t>
            </w:r>
            <w:r>
              <w:rPr>
                <w:rFonts w:hint="default" w:ascii="Times New Roman" w:hAnsi="Times New Roman" w:eastAsia="宋体" w:cs="Times New Roman"/>
                <w:color w:val="auto"/>
                <w:sz w:val="21"/>
                <w:szCs w:val="21"/>
                <w:highlight w:val="none"/>
                <w:lang w:eastAsia="zh-CN"/>
              </w:rPr>
              <w:t>活性炭</w:t>
            </w:r>
            <w:r>
              <w:rPr>
                <w:rFonts w:hint="default" w:ascii="Times New Roman" w:hAnsi="Times New Roman" w:eastAsia="宋体" w:cs="Times New Roman"/>
                <w:color w:val="auto"/>
                <w:sz w:val="21"/>
                <w:szCs w:val="21"/>
                <w:highlight w:val="none"/>
              </w:rPr>
              <w:t>对有机废气的吸附容量</w:t>
            </w:r>
            <w:r>
              <w:rPr>
                <w:rFonts w:hint="default" w:ascii="Times New Roman" w:hAnsi="Times New Roman" w:eastAsia="宋体" w:cs="Times New Roman"/>
                <w:color w:val="auto"/>
                <w:sz w:val="21"/>
                <w:szCs w:val="21"/>
                <w:highlight w:val="none"/>
                <w:lang w:eastAsia="zh-CN"/>
              </w:rPr>
              <w:t>取</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全厂活性炭的废气削减量约1.157t/a，则需要活性炭11.57</w:t>
            </w: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eastAsia="宋体"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lang w:val="en-US" w:eastAsia="zh-CN"/>
              </w:rPr>
              <w:t>企业活性炭</w:t>
            </w:r>
            <w:r>
              <w:rPr>
                <w:rFonts w:hint="eastAsia" w:ascii="Times New Roman" w:hAnsi="Times New Roman" w:eastAsia="宋体" w:cs="Times New Roman"/>
                <w:color w:val="auto"/>
                <w:sz w:val="21"/>
                <w:szCs w:val="21"/>
                <w:highlight w:val="none"/>
                <w:lang w:val="en-US" w:eastAsia="zh-CN"/>
              </w:rPr>
              <w:t>约19个工作日</w:t>
            </w:r>
            <w:r>
              <w:rPr>
                <w:rFonts w:hint="default" w:ascii="Times New Roman" w:hAnsi="Times New Roman" w:eastAsia="宋体" w:cs="Times New Roman"/>
                <w:color w:val="auto"/>
                <w:sz w:val="21"/>
                <w:szCs w:val="21"/>
                <w:highlight w:val="none"/>
                <w:lang w:val="en-US" w:eastAsia="zh-CN"/>
              </w:rPr>
              <w:t>更换一次，产生废活性炭</w:t>
            </w:r>
            <w:r>
              <w:rPr>
                <w:rFonts w:hint="eastAsia" w:ascii="Times New Roman" w:hAnsi="Times New Roman" w:eastAsia="宋体" w:cs="Times New Roman"/>
                <w:color w:val="auto"/>
                <w:sz w:val="21"/>
                <w:szCs w:val="21"/>
                <w:highlight w:val="none"/>
                <w:lang w:val="en-US" w:eastAsia="zh-CN"/>
              </w:rPr>
              <w:t>约12.727</w:t>
            </w: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eastAsia="宋体" w:cs="Times New Roman"/>
                <w:color w:val="auto"/>
                <w:sz w:val="21"/>
                <w:szCs w:val="21"/>
                <w:highlight w:val="none"/>
                <w:lang w:val="en-US" w:eastAsia="zh-CN"/>
              </w:rPr>
              <w:t>/a，委托有资质单位处置</w:t>
            </w:r>
            <w:r>
              <w:rPr>
                <w:rFonts w:hint="default" w:ascii="Times New Roman" w:hAnsi="Times New Roman" w:eastAsia="宋体" w:cs="Times New Roman"/>
                <w:color w:val="auto"/>
                <w:sz w:val="21"/>
                <w:szCs w:val="21"/>
                <w:highlight w:val="none"/>
                <w:lang w:val="en-US" w:eastAsia="zh-CN"/>
              </w:rPr>
              <w:t>。</w:t>
            </w:r>
          </w:p>
          <w:p>
            <w:pPr>
              <w:pStyle w:val="29"/>
              <w:adjustRightInd w:val="0"/>
              <w:snapToGrid w:val="0"/>
              <w:spacing w:line="360" w:lineRule="auto"/>
              <w:ind w:firstLine="422"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1"/>
                <w:szCs w:val="21"/>
              </w:rPr>
              <w:t>生活垃圾</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sz w:val="21"/>
                <w:szCs w:val="21"/>
              </w:rPr>
              <w:t>建成后全厂职工人数</w:t>
            </w:r>
            <w:r>
              <w:rPr>
                <w:rFonts w:hint="eastAsia" w:ascii="Times New Roman" w:hAnsi="Times New Roman" w:cs="Times New Roman"/>
                <w:sz w:val="21"/>
                <w:szCs w:val="21"/>
                <w:lang w:val="en-US" w:eastAsia="zh-CN"/>
              </w:rPr>
              <w:t>80</w:t>
            </w:r>
            <w:r>
              <w:rPr>
                <w:rFonts w:hint="default" w:ascii="Times New Roman" w:hAnsi="Times New Roman" w:eastAsia="宋体" w:cs="Times New Roman"/>
                <w:sz w:val="21"/>
                <w:szCs w:val="21"/>
              </w:rPr>
              <w:t>人，年工作</w:t>
            </w:r>
            <w:r>
              <w:rPr>
                <w:rFonts w:hint="eastAsia" w:ascii="Times New Roman" w:hAnsi="Times New Roman" w:cs="Times New Roman"/>
                <w:sz w:val="21"/>
                <w:szCs w:val="21"/>
                <w:lang w:val="en-US" w:eastAsia="zh-CN"/>
              </w:rPr>
              <w:t>25</w:t>
            </w:r>
            <w:r>
              <w:rPr>
                <w:rFonts w:hint="default" w:ascii="Times New Roman" w:hAnsi="Times New Roman" w:eastAsia="宋体" w:cs="Times New Roman"/>
                <w:sz w:val="21"/>
                <w:szCs w:val="21"/>
              </w:rPr>
              <w:t>0天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按0.5kg/人·d产生量计，生活垃圾</w:t>
            </w:r>
            <w:r>
              <w:rPr>
                <w:rFonts w:hint="eastAsia" w:ascii="Times New Roman" w:hAnsi="Times New Roman" w:cs="Times New Roman"/>
                <w:sz w:val="21"/>
                <w:szCs w:val="21"/>
                <w:lang w:val="en-US" w:eastAsia="zh-CN"/>
              </w:rPr>
              <w:t>10</w:t>
            </w:r>
            <w:r>
              <w:rPr>
                <w:rFonts w:hint="default" w:ascii="Times New Roman" w:hAnsi="Times New Roman" w:eastAsia="宋体" w:cs="Times New Roman"/>
                <w:sz w:val="21"/>
                <w:szCs w:val="21"/>
              </w:rPr>
              <w:t>t/a由当地环卫部门统一收集处理</w:t>
            </w:r>
            <w:r>
              <w:rPr>
                <w:rFonts w:hint="default" w:ascii="Times New Roman" w:hAnsi="Times New Roman" w:eastAsia="宋体" w:cs="Times New Roman"/>
                <w:sz w:val="21"/>
                <w:szCs w:val="21"/>
                <w:lang w:eastAsia="zh-CN"/>
              </w:rPr>
              <w:t>。</w:t>
            </w:r>
          </w:p>
          <w:p>
            <w:pPr>
              <w:pStyle w:val="29"/>
              <w:adjustRightInd w:val="0"/>
              <w:snapToGrid w:val="0"/>
              <w:spacing w:line="360" w:lineRule="auto"/>
              <w:ind w:firstLine="420" w:firstLineChars="200"/>
              <w:jc w:val="both"/>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固废对外零排放，不会对环境产生二次污染</w:t>
            </w:r>
            <w:r>
              <w:rPr>
                <w:rFonts w:hint="eastAsia" w:ascii="Times New Roman" w:hAnsi="Times New Roman" w:cs="Times New Roman"/>
                <w:sz w:val="21"/>
                <w:szCs w:val="21"/>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按照《建设项目危险废物环境影响评价指南》（环境保护部公告2017年第43号）要求及《国家危险废物名录》（2021年版），建设项目营运期危险废物分析结果汇总表如下：</w:t>
            </w:r>
          </w:p>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r>
              <w:rPr>
                <w:rFonts w:hint="default"/>
                <w:b/>
                <w:bCs/>
                <w:sz w:val="21"/>
                <w:szCs w:val="21"/>
              </w:rPr>
              <w:t>表</w:t>
            </w:r>
            <w:r>
              <w:rPr>
                <w:rFonts w:hint="default"/>
                <w:b/>
                <w:bCs/>
                <w:sz w:val="21"/>
                <w:szCs w:val="21"/>
                <w:lang w:val="en-US" w:eastAsia="zh-CN"/>
              </w:rPr>
              <w:t>4-</w:t>
            </w:r>
            <w:r>
              <w:rPr>
                <w:rFonts w:hint="eastAsia"/>
                <w:b/>
                <w:bCs/>
                <w:sz w:val="21"/>
                <w:szCs w:val="21"/>
                <w:lang w:val="en-US" w:eastAsia="zh-CN"/>
              </w:rPr>
              <w:t>20</w:t>
            </w:r>
            <w:r>
              <w:rPr>
                <w:rFonts w:hint="default"/>
                <w:b/>
                <w:bCs/>
                <w:sz w:val="21"/>
                <w:szCs w:val="21"/>
              </w:rPr>
              <w:t xml:space="preserve"> </w:t>
            </w:r>
            <w:r>
              <w:rPr>
                <w:rFonts w:hint="eastAsia"/>
                <w:b/>
                <w:bCs/>
                <w:sz w:val="21"/>
                <w:szCs w:val="21"/>
                <w:lang w:val="en-US" w:eastAsia="zh-CN"/>
              </w:rPr>
              <w:t xml:space="preserve"> 本项目</w:t>
            </w:r>
            <w:r>
              <w:rPr>
                <w:rFonts w:hint="default"/>
                <w:b/>
                <w:bCs/>
                <w:sz w:val="21"/>
                <w:szCs w:val="21"/>
              </w:rPr>
              <w:t>营运期</w:t>
            </w:r>
            <w:r>
              <w:rPr>
                <w:rFonts w:hint="eastAsia"/>
                <w:b/>
                <w:bCs/>
                <w:sz w:val="21"/>
                <w:szCs w:val="21"/>
                <w:lang w:val="en-US" w:eastAsia="zh-CN"/>
              </w:rPr>
              <w:t>固体</w:t>
            </w:r>
            <w:r>
              <w:rPr>
                <w:rFonts w:hint="default"/>
                <w:b/>
                <w:bCs/>
                <w:sz w:val="21"/>
                <w:szCs w:val="21"/>
              </w:rPr>
              <w:t>废物汇总表</w:t>
            </w:r>
          </w:p>
          <w:tbl>
            <w:tblPr>
              <w:tblStyle w:val="1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00"/>
              <w:gridCol w:w="735"/>
              <w:gridCol w:w="425"/>
              <w:gridCol w:w="687"/>
              <w:gridCol w:w="727"/>
              <w:gridCol w:w="602"/>
              <w:gridCol w:w="590"/>
              <w:gridCol w:w="330"/>
              <w:gridCol w:w="721"/>
              <w:gridCol w:w="611"/>
              <w:gridCol w:w="424"/>
              <w:gridCol w:w="488"/>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9"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序号</w:t>
                  </w:r>
                </w:p>
              </w:tc>
              <w:tc>
                <w:tcPr>
                  <w:tcW w:w="476"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废物名称</w:t>
                  </w:r>
                </w:p>
              </w:tc>
              <w:tc>
                <w:tcPr>
                  <w:tcW w:w="275"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eastAsia="宋体"/>
                      <w:b/>
                      <w:bCs/>
                      <w:sz w:val="18"/>
                      <w:szCs w:val="18"/>
                      <w:lang w:val="en-US" w:eastAsia="zh-CN"/>
                    </w:rPr>
                  </w:pPr>
                  <w:r>
                    <w:rPr>
                      <w:rFonts w:hint="eastAsia"/>
                      <w:b/>
                      <w:bCs/>
                      <w:sz w:val="18"/>
                      <w:szCs w:val="18"/>
                      <w:lang w:val="en-US" w:eastAsia="zh-CN"/>
                    </w:rPr>
                    <w:t>属性</w:t>
                  </w:r>
                </w:p>
              </w:tc>
              <w:tc>
                <w:tcPr>
                  <w:tcW w:w="445"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危险废物类别</w:t>
                  </w:r>
                </w:p>
              </w:tc>
              <w:tc>
                <w:tcPr>
                  <w:tcW w:w="471"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危险废物代码</w:t>
                  </w:r>
                </w:p>
              </w:tc>
              <w:tc>
                <w:tcPr>
                  <w:tcW w:w="390"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产生量(t/a)</w:t>
                  </w:r>
                </w:p>
              </w:tc>
              <w:tc>
                <w:tcPr>
                  <w:tcW w:w="382"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highlight w:val="none"/>
                    </w:rPr>
                  </w:pPr>
                  <w:r>
                    <w:rPr>
                      <w:rFonts w:hint="default"/>
                      <w:b/>
                      <w:bCs/>
                      <w:sz w:val="18"/>
                      <w:szCs w:val="18"/>
                      <w:highlight w:val="none"/>
                    </w:rPr>
                    <w:t>产生</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highlight w:val="none"/>
                    </w:rPr>
                    <w:t>工序</w:t>
                  </w:r>
                </w:p>
              </w:tc>
              <w:tc>
                <w:tcPr>
                  <w:tcW w:w="213"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形态</w:t>
                  </w:r>
                </w:p>
              </w:tc>
              <w:tc>
                <w:tcPr>
                  <w:tcW w:w="467"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主要</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成分</w:t>
                  </w:r>
                </w:p>
              </w:tc>
              <w:tc>
                <w:tcPr>
                  <w:tcW w:w="396"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有害</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成分</w:t>
                  </w:r>
                </w:p>
              </w:tc>
              <w:tc>
                <w:tcPr>
                  <w:tcW w:w="274"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危险</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特性</w:t>
                  </w:r>
                </w:p>
              </w:tc>
              <w:tc>
                <w:tcPr>
                  <w:tcW w:w="947" w:type="pct"/>
                  <w:gridSpan w:val="2"/>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76"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275"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45"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71"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90"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82"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213"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67"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96"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274"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16"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贮存</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方式</w:t>
                  </w:r>
                </w:p>
              </w:tc>
              <w:tc>
                <w:tcPr>
                  <w:tcW w:w="63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lang w:val="en-US" w:eastAsia="zh-CN"/>
                    </w:rPr>
                  </w:pPr>
                  <w:r>
                    <w:rPr>
                      <w:rFonts w:hint="default"/>
                      <w:b/>
                      <w:bCs/>
                      <w:sz w:val="18"/>
                      <w:szCs w:val="18"/>
                    </w:rPr>
                    <w:t>利用处置方式</w:t>
                  </w:r>
                  <w:r>
                    <w:rPr>
                      <w:rFonts w:hint="default"/>
                      <w:b/>
                      <w:bCs/>
                      <w:sz w:val="18"/>
                      <w:szCs w:val="18"/>
                      <w:lang w:val="en-US" w:eastAsia="zh-CN"/>
                    </w:rPr>
                    <w:t>和去向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eastAsia"/>
                      <w:sz w:val="18"/>
                      <w:szCs w:val="18"/>
                      <w:lang w:val="en-US" w:eastAsia="zh-CN"/>
                    </w:rPr>
                    <w:t>1</w:t>
                  </w:r>
                </w:p>
              </w:tc>
              <w:tc>
                <w:tcPr>
                  <w:tcW w:w="476" w:type="pct"/>
                  <w:tcBorders>
                    <w:tl2br w:val="nil"/>
                    <w:tr2bl w:val="nil"/>
                  </w:tcBorders>
                  <w:noWrap w:val="0"/>
                  <w:vAlign w:val="center"/>
                </w:tcPr>
                <w:p>
                  <w:pPr>
                    <w:adjustRightInd w:val="0"/>
                    <w:snapToGrid w:val="0"/>
                    <w:jc w:val="center"/>
                    <w:rPr>
                      <w:rFonts w:hint="default"/>
                      <w:sz w:val="18"/>
                      <w:szCs w:val="18"/>
                      <w:lang w:val="zh-CN" w:eastAsia="zh-CN"/>
                    </w:rPr>
                  </w:pPr>
                  <w:r>
                    <w:rPr>
                      <w:rFonts w:hint="default"/>
                      <w:sz w:val="18"/>
                      <w:szCs w:val="18"/>
                      <w:lang w:eastAsia="zh-CN"/>
                    </w:rPr>
                    <w:t>废活性炭</w:t>
                  </w:r>
                </w:p>
              </w:tc>
              <w:tc>
                <w:tcPr>
                  <w:tcW w:w="275"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危险废物</w:t>
                  </w:r>
                </w:p>
              </w:tc>
              <w:tc>
                <w:tcPr>
                  <w:tcW w:w="445" w:type="pct"/>
                  <w:tcBorders>
                    <w:tl2br w:val="nil"/>
                    <w:tr2bl w:val="nil"/>
                  </w:tcBorders>
                  <w:noWrap w:val="0"/>
                  <w:vAlign w:val="center"/>
                </w:tcPr>
                <w:p>
                  <w:pPr>
                    <w:adjustRightInd w:val="0"/>
                    <w:snapToGrid w:val="0"/>
                    <w:jc w:val="center"/>
                    <w:rPr>
                      <w:rFonts w:hint="default"/>
                      <w:sz w:val="18"/>
                      <w:szCs w:val="18"/>
                    </w:rPr>
                  </w:pPr>
                  <w:r>
                    <w:rPr>
                      <w:rFonts w:hint="default"/>
                      <w:sz w:val="18"/>
                      <w:szCs w:val="18"/>
                      <w:lang w:val="en-US" w:eastAsia="zh-CN"/>
                    </w:rPr>
                    <w:t>HW49</w:t>
                  </w:r>
                </w:p>
              </w:tc>
              <w:tc>
                <w:tcPr>
                  <w:tcW w:w="471" w:type="pct"/>
                  <w:tcBorders>
                    <w:tl2br w:val="nil"/>
                    <w:tr2bl w:val="nil"/>
                  </w:tcBorders>
                  <w:noWrap w:val="0"/>
                  <w:vAlign w:val="center"/>
                </w:tcPr>
                <w:p>
                  <w:pPr>
                    <w:adjustRightInd w:val="0"/>
                    <w:snapToGrid w:val="0"/>
                    <w:jc w:val="center"/>
                    <w:rPr>
                      <w:rFonts w:hint="default"/>
                      <w:sz w:val="18"/>
                      <w:szCs w:val="18"/>
                    </w:rPr>
                  </w:pPr>
                  <w:r>
                    <w:rPr>
                      <w:rFonts w:hint="default"/>
                      <w:sz w:val="18"/>
                      <w:szCs w:val="18"/>
                    </w:rPr>
                    <w:t>900-0</w:t>
                  </w:r>
                  <w:r>
                    <w:rPr>
                      <w:rFonts w:hint="eastAsia"/>
                      <w:sz w:val="18"/>
                      <w:szCs w:val="18"/>
                      <w:lang w:val="en-US" w:eastAsia="zh-CN"/>
                    </w:rPr>
                    <w:t>39</w:t>
                  </w:r>
                  <w:r>
                    <w:rPr>
                      <w:rFonts w:hint="default"/>
                      <w:sz w:val="18"/>
                      <w:szCs w:val="18"/>
                    </w:rPr>
                    <w:t>-49</w:t>
                  </w:r>
                </w:p>
              </w:tc>
              <w:tc>
                <w:tcPr>
                  <w:tcW w:w="390"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ascii="Times New Roman" w:hAnsi="Times New Roman" w:eastAsia="宋体" w:cs="Times New Roman"/>
                      <w:color w:val="auto"/>
                      <w:sz w:val="18"/>
                      <w:szCs w:val="18"/>
                      <w:highlight w:val="none"/>
                      <w:lang w:val="en-US" w:eastAsia="zh-CN"/>
                    </w:rPr>
                    <w:t>0.847</w:t>
                  </w:r>
                </w:p>
              </w:tc>
              <w:tc>
                <w:tcPr>
                  <w:tcW w:w="382"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lang w:eastAsia="zh-CN"/>
                    </w:rPr>
                    <w:t>废气处理</w:t>
                  </w:r>
                </w:p>
              </w:tc>
              <w:tc>
                <w:tcPr>
                  <w:tcW w:w="213"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lang w:eastAsia="zh-CN"/>
                    </w:rPr>
                    <w:t>固</w:t>
                  </w:r>
                </w:p>
              </w:tc>
              <w:tc>
                <w:tcPr>
                  <w:tcW w:w="467"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lang w:eastAsia="zh-CN"/>
                    </w:rPr>
                    <w:t>活性炭纤维、非甲烷总烃</w:t>
                  </w:r>
                </w:p>
              </w:tc>
              <w:tc>
                <w:tcPr>
                  <w:tcW w:w="396"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lang w:eastAsia="zh-CN"/>
                    </w:rPr>
                    <w:t>活性炭纤维、</w:t>
                  </w:r>
                  <w:r>
                    <w:rPr>
                      <w:rFonts w:hint="eastAsia"/>
                      <w:sz w:val="18"/>
                      <w:szCs w:val="18"/>
                      <w:lang w:val="en-US" w:eastAsia="zh-CN"/>
                    </w:rPr>
                    <w:t>有机物</w:t>
                  </w:r>
                </w:p>
              </w:tc>
              <w:tc>
                <w:tcPr>
                  <w:tcW w:w="274" w:type="pct"/>
                  <w:tcBorders>
                    <w:tl2br w:val="nil"/>
                    <w:tr2bl w:val="nil"/>
                  </w:tcBorders>
                  <w:noWrap w:val="0"/>
                  <w:vAlign w:val="center"/>
                </w:tcPr>
                <w:p>
                  <w:pPr>
                    <w:adjustRightInd w:val="0"/>
                    <w:snapToGrid w:val="0"/>
                    <w:jc w:val="center"/>
                    <w:rPr>
                      <w:rFonts w:hint="eastAsia"/>
                      <w:sz w:val="18"/>
                      <w:szCs w:val="18"/>
                      <w:lang w:eastAsia="zh-CN"/>
                    </w:rPr>
                  </w:pPr>
                  <w:r>
                    <w:rPr>
                      <w:rFonts w:hint="default"/>
                      <w:sz w:val="18"/>
                      <w:szCs w:val="18"/>
                    </w:rPr>
                    <w:t>T</w:t>
                  </w:r>
                </w:p>
              </w:tc>
              <w:tc>
                <w:tcPr>
                  <w:tcW w:w="316"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堆放</w:t>
                  </w:r>
                </w:p>
              </w:tc>
              <w:tc>
                <w:tcPr>
                  <w:tcW w:w="63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eastAsia="宋体"/>
                      <w:sz w:val="18"/>
                      <w:szCs w:val="18"/>
                      <w:lang w:val="en-US" w:eastAsia="zh-CN"/>
                    </w:rPr>
                  </w:pPr>
                  <w:r>
                    <w:rPr>
                      <w:rFonts w:hint="eastAsia"/>
                      <w:sz w:val="18"/>
                      <w:szCs w:val="18"/>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eastAsia"/>
                      <w:sz w:val="18"/>
                      <w:szCs w:val="18"/>
                      <w:lang w:val="en-US" w:eastAsia="zh-CN"/>
                    </w:rPr>
                    <w:t>2</w:t>
                  </w:r>
                </w:p>
              </w:tc>
              <w:tc>
                <w:tcPr>
                  <w:tcW w:w="476" w:type="pct"/>
                  <w:tcBorders>
                    <w:tl2br w:val="nil"/>
                    <w:tr2bl w:val="nil"/>
                  </w:tcBorders>
                  <w:noWrap w:val="0"/>
                  <w:vAlign w:val="center"/>
                </w:tcPr>
                <w:p>
                  <w:pPr>
                    <w:adjustRightInd w:val="0"/>
                    <w:snapToGrid w:val="0"/>
                    <w:jc w:val="center"/>
                    <w:rPr>
                      <w:rFonts w:hint="default"/>
                      <w:sz w:val="18"/>
                      <w:szCs w:val="18"/>
                      <w:lang w:eastAsia="zh-CN"/>
                    </w:rPr>
                  </w:pPr>
                  <w:r>
                    <w:rPr>
                      <w:rFonts w:hint="eastAsia" w:ascii="Times New Roman" w:hAnsi="Times New Roman" w:cs="Times New Roman"/>
                      <w:sz w:val="18"/>
                      <w:szCs w:val="18"/>
                      <w:lang w:val="en-US" w:eastAsia="zh-CN"/>
                    </w:rPr>
                    <w:t>废塑料</w:t>
                  </w:r>
                </w:p>
              </w:tc>
              <w:tc>
                <w:tcPr>
                  <w:tcW w:w="275" w:type="pct"/>
                  <w:vMerge w:val="restar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一般固废</w:t>
                  </w:r>
                </w:p>
              </w:tc>
              <w:tc>
                <w:tcPr>
                  <w:tcW w:w="445"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sz w:val="18"/>
                      <w:szCs w:val="18"/>
                      <w:lang w:val="en-US" w:eastAsia="zh-CN"/>
                    </w:rPr>
                  </w:pPr>
                  <w:r>
                    <w:rPr>
                      <w:rFonts w:hint="eastAsia" w:ascii="Times New Roman" w:hAnsi="Times New Roman" w:eastAsia="宋体" w:cs="Times New Roman"/>
                      <w:color w:val="auto"/>
                      <w:kern w:val="2"/>
                      <w:sz w:val="18"/>
                      <w:szCs w:val="18"/>
                      <w:highlight w:val="none"/>
                      <w:lang w:val="en-US" w:eastAsia="zh-CN" w:bidi="ar-SA"/>
                    </w:rPr>
                    <w:t>06</w:t>
                  </w:r>
                </w:p>
              </w:tc>
              <w:tc>
                <w:tcPr>
                  <w:tcW w:w="471"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sz w:val="18"/>
                      <w:szCs w:val="18"/>
                    </w:rPr>
                  </w:pPr>
                  <w:r>
                    <w:rPr>
                      <w:rFonts w:hint="eastAsia" w:ascii="Times New Roman" w:hAnsi="Times New Roman" w:eastAsia="宋体" w:cs="Times New Roman"/>
                      <w:color w:val="auto"/>
                      <w:kern w:val="2"/>
                      <w:sz w:val="18"/>
                      <w:szCs w:val="18"/>
                      <w:highlight w:val="none"/>
                      <w:lang w:val="en-US" w:eastAsia="zh-CN" w:bidi="ar-SA"/>
                    </w:rPr>
                    <w:t>292-001-06</w:t>
                  </w:r>
                </w:p>
              </w:tc>
              <w:tc>
                <w:tcPr>
                  <w:tcW w:w="390" w:type="pct"/>
                  <w:tcBorders>
                    <w:tl2br w:val="nil"/>
                    <w:tr2bl w:val="nil"/>
                  </w:tcBorders>
                  <w:noWrap w:val="0"/>
                  <w:vAlign w:val="center"/>
                </w:tcPr>
                <w:p>
                  <w:pPr>
                    <w:adjustRightInd w:val="0"/>
                    <w:snapToGrid w:val="0"/>
                    <w:jc w:val="center"/>
                    <w:rPr>
                      <w:rFonts w:hint="default"/>
                      <w:sz w:val="18"/>
                      <w:szCs w:val="18"/>
                      <w:highlight w:val="yellow"/>
                      <w:lang w:val="en-US" w:eastAsia="zh-CN"/>
                    </w:rPr>
                  </w:pPr>
                  <w:r>
                    <w:rPr>
                      <w:rFonts w:hint="eastAsia" w:cs="Times New Roman"/>
                      <w:sz w:val="18"/>
                      <w:szCs w:val="18"/>
                      <w:lang w:val="en-US" w:eastAsia="zh-CN"/>
                    </w:rPr>
                    <w:t>0.905</w:t>
                  </w:r>
                </w:p>
              </w:tc>
              <w:tc>
                <w:tcPr>
                  <w:tcW w:w="382"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注塑</w:t>
                  </w:r>
                </w:p>
              </w:tc>
              <w:tc>
                <w:tcPr>
                  <w:tcW w:w="213" w:type="pct"/>
                  <w:tcBorders>
                    <w:tl2br w:val="nil"/>
                    <w:tr2bl w:val="nil"/>
                  </w:tcBorders>
                  <w:noWrap w:val="0"/>
                  <w:vAlign w:val="center"/>
                </w:tcPr>
                <w:p>
                  <w:pPr>
                    <w:adjustRightInd w:val="0"/>
                    <w:snapToGrid w:val="0"/>
                    <w:jc w:val="center"/>
                    <w:rPr>
                      <w:rFonts w:hint="default"/>
                      <w:sz w:val="18"/>
                      <w:szCs w:val="18"/>
                      <w:lang w:eastAsia="zh-CN"/>
                    </w:rPr>
                  </w:pPr>
                  <w:r>
                    <w:rPr>
                      <w:rFonts w:hint="default"/>
                      <w:sz w:val="18"/>
                      <w:szCs w:val="18"/>
                      <w:lang w:eastAsia="zh-CN"/>
                    </w:rPr>
                    <w:t>固</w:t>
                  </w:r>
                </w:p>
              </w:tc>
              <w:tc>
                <w:tcPr>
                  <w:tcW w:w="467"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塑料</w:t>
                  </w:r>
                </w:p>
              </w:tc>
              <w:tc>
                <w:tcPr>
                  <w:tcW w:w="396"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w:t>
                  </w:r>
                </w:p>
              </w:tc>
              <w:tc>
                <w:tcPr>
                  <w:tcW w:w="274" w:type="pct"/>
                  <w:tcBorders>
                    <w:tl2br w:val="nil"/>
                    <w:tr2bl w:val="nil"/>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316"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eastAsia="宋体"/>
                      <w:sz w:val="18"/>
                      <w:szCs w:val="18"/>
                      <w:lang w:val="en-US" w:eastAsia="zh-CN"/>
                    </w:rPr>
                  </w:pPr>
                  <w:r>
                    <w:rPr>
                      <w:rFonts w:hint="eastAsia"/>
                      <w:sz w:val="18"/>
                      <w:szCs w:val="18"/>
                      <w:lang w:val="en-US" w:eastAsia="zh-CN"/>
                    </w:rPr>
                    <w:t>袋装</w:t>
                  </w:r>
                </w:p>
              </w:tc>
              <w:tc>
                <w:tcPr>
                  <w:tcW w:w="630"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ascii="Times New Roman" w:hAnsi="Times New Roman" w:eastAsia="宋体" w:cs="Times New Roman"/>
                      <w:color w:val="auto"/>
                      <w:sz w:val="18"/>
                      <w:szCs w:val="18"/>
                      <w:highlight w:val="none"/>
                      <w:lang w:val="en-US" w:eastAsia="zh-CN"/>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eastAsia"/>
                      <w:sz w:val="18"/>
                      <w:szCs w:val="18"/>
                      <w:lang w:val="en-US" w:eastAsia="zh-CN"/>
                    </w:rPr>
                    <w:t>3</w:t>
                  </w:r>
                </w:p>
              </w:tc>
              <w:tc>
                <w:tcPr>
                  <w:tcW w:w="476"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eastAsia="宋体" w:cs="Times New Roman"/>
                      <w:sz w:val="18"/>
                      <w:szCs w:val="18"/>
                    </w:rPr>
                    <w:t>废包装材料</w:t>
                  </w:r>
                </w:p>
              </w:tc>
              <w:tc>
                <w:tcPr>
                  <w:tcW w:w="275" w:type="pct"/>
                  <w:vMerge w:val="continue"/>
                  <w:tcBorders>
                    <w:tl2br w:val="nil"/>
                    <w:tr2bl w:val="nil"/>
                  </w:tcBorders>
                  <w:noWrap w:val="0"/>
                  <w:vAlign w:val="center"/>
                </w:tcPr>
                <w:p>
                  <w:pPr>
                    <w:adjustRightInd w:val="0"/>
                    <w:snapToGrid w:val="0"/>
                    <w:jc w:val="center"/>
                    <w:rPr>
                      <w:rFonts w:hint="default"/>
                      <w:sz w:val="18"/>
                      <w:szCs w:val="18"/>
                      <w:lang w:eastAsia="zh-CN"/>
                    </w:rPr>
                  </w:pPr>
                </w:p>
              </w:tc>
              <w:tc>
                <w:tcPr>
                  <w:tcW w:w="445"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cs="Times New Roman"/>
                      <w:color w:val="auto"/>
                      <w:sz w:val="18"/>
                      <w:szCs w:val="18"/>
                      <w:lang w:val="en-US" w:eastAsia="zh-CN"/>
                    </w:rPr>
                    <w:t>07</w:t>
                  </w:r>
                </w:p>
              </w:tc>
              <w:tc>
                <w:tcPr>
                  <w:tcW w:w="471" w:type="pct"/>
                  <w:tcBorders>
                    <w:tl2br w:val="nil"/>
                    <w:tr2bl w:val="nil"/>
                  </w:tcBorders>
                  <w:noWrap w:val="0"/>
                  <w:vAlign w:val="center"/>
                </w:tcPr>
                <w:p>
                  <w:pPr>
                    <w:adjustRightInd w:val="0"/>
                    <w:snapToGrid w:val="0"/>
                    <w:jc w:val="center"/>
                    <w:rPr>
                      <w:rFonts w:hint="default"/>
                      <w:sz w:val="18"/>
                      <w:szCs w:val="18"/>
                    </w:rPr>
                  </w:pPr>
                  <w:r>
                    <w:rPr>
                      <w:rFonts w:hint="eastAsia" w:ascii="Times New Roman" w:hAnsi="Times New Roman" w:eastAsia="宋体" w:cs="Times New Roman"/>
                      <w:color w:val="auto"/>
                      <w:kern w:val="2"/>
                      <w:sz w:val="18"/>
                      <w:szCs w:val="18"/>
                      <w:highlight w:val="none"/>
                      <w:lang w:val="en-US" w:eastAsia="zh-CN" w:bidi="ar-SA"/>
                    </w:rPr>
                    <w:t>900-999-</w:t>
                  </w:r>
                  <w:r>
                    <w:rPr>
                      <w:rFonts w:hint="eastAsia" w:cs="Times New Roman"/>
                      <w:color w:val="auto"/>
                      <w:sz w:val="18"/>
                      <w:szCs w:val="18"/>
                      <w:shd w:val="clear" w:color="auto" w:fill="FFFFFF"/>
                      <w:lang w:val="en-US" w:eastAsia="zh-CN"/>
                    </w:rPr>
                    <w:t>07</w:t>
                  </w:r>
                </w:p>
              </w:tc>
              <w:tc>
                <w:tcPr>
                  <w:tcW w:w="390" w:type="pct"/>
                  <w:tcBorders>
                    <w:tl2br w:val="nil"/>
                    <w:tr2bl w:val="nil"/>
                  </w:tcBorders>
                  <w:noWrap w:val="0"/>
                  <w:vAlign w:val="center"/>
                </w:tcPr>
                <w:p>
                  <w:pPr>
                    <w:adjustRightInd w:val="0"/>
                    <w:snapToGrid w:val="0"/>
                    <w:jc w:val="center"/>
                    <w:rPr>
                      <w:rFonts w:hint="default"/>
                      <w:sz w:val="18"/>
                      <w:szCs w:val="18"/>
                      <w:highlight w:val="yellow"/>
                      <w:lang w:val="en-US" w:eastAsia="zh-CN"/>
                    </w:rPr>
                  </w:pPr>
                  <w:r>
                    <w:rPr>
                      <w:rFonts w:hint="eastAsia" w:cs="Times New Roman"/>
                      <w:sz w:val="18"/>
                      <w:szCs w:val="18"/>
                      <w:lang w:val="en-US" w:eastAsia="zh-CN"/>
                    </w:rPr>
                    <w:t>0.5</w:t>
                  </w:r>
                </w:p>
              </w:tc>
              <w:tc>
                <w:tcPr>
                  <w:tcW w:w="382" w:type="pct"/>
                  <w:tcBorders>
                    <w:tl2br w:val="nil"/>
                    <w:tr2bl w:val="nil"/>
                  </w:tcBorders>
                  <w:noWrap w:val="0"/>
                  <w:vAlign w:val="center"/>
                </w:tcPr>
                <w:p>
                  <w:pPr>
                    <w:adjustRightInd w:val="0"/>
                    <w:snapToGrid w:val="0"/>
                    <w:jc w:val="center"/>
                    <w:rPr>
                      <w:rFonts w:hint="default"/>
                      <w:sz w:val="18"/>
                      <w:szCs w:val="18"/>
                      <w:lang w:eastAsia="zh-CN"/>
                    </w:rPr>
                  </w:pPr>
                  <w:r>
                    <w:rPr>
                      <w:rFonts w:hint="default"/>
                      <w:sz w:val="18"/>
                      <w:szCs w:val="18"/>
                    </w:rPr>
                    <w:t>原料包装</w:t>
                  </w:r>
                </w:p>
              </w:tc>
              <w:tc>
                <w:tcPr>
                  <w:tcW w:w="213" w:type="pct"/>
                  <w:tcBorders>
                    <w:tl2br w:val="nil"/>
                    <w:tr2bl w:val="nil"/>
                  </w:tcBorders>
                  <w:noWrap w:val="0"/>
                  <w:vAlign w:val="center"/>
                </w:tcPr>
                <w:p>
                  <w:pPr>
                    <w:adjustRightInd w:val="0"/>
                    <w:snapToGrid w:val="0"/>
                    <w:jc w:val="center"/>
                    <w:rPr>
                      <w:rFonts w:hint="default"/>
                      <w:sz w:val="18"/>
                      <w:szCs w:val="18"/>
                      <w:lang w:eastAsia="zh-CN"/>
                    </w:rPr>
                  </w:pPr>
                  <w:r>
                    <w:rPr>
                      <w:rFonts w:hint="default"/>
                      <w:sz w:val="18"/>
                      <w:szCs w:val="18"/>
                      <w:lang w:eastAsia="zh-CN"/>
                    </w:rPr>
                    <w:t>固</w:t>
                  </w:r>
                </w:p>
              </w:tc>
              <w:tc>
                <w:tcPr>
                  <w:tcW w:w="467"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纸板</w:t>
                  </w:r>
                </w:p>
              </w:tc>
              <w:tc>
                <w:tcPr>
                  <w:tcW w:w="396"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w:t>
                  </w:r>
                </w:p>
              </w:tc>
              <w:tc>
                <w:tcPr>
                  <w:tcW w:w="274" w:type="pct"/>
                  <w:tcBorders>
                    <w:tl2br w:val="nil"/>
                    <w:tr2bl w:val="nil"/>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316"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eastAsia"/>
                      <w:sz w:val="18"/>
                      <w:szCs w:val="18"/>
                      <w:lang w:val="en-US" w:eastAsia="zh-CN"/>
                    </w:rPr>
                    <w:t>袋装</w:t>
                  </w:r>
                </w:p>
              </w:tc>
              <w:tc>
                <w:tcPr>
                  <w:tcW w:w="630"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5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eastAsia"/>
                      <w:sz w:val="18"/>
                      <w:szCs w:val="18"/>
                      <w:lang w:val="en-US" w:eastAsia="zh-CN"/>
                    </w:rPr>
                    <w:t>4</w:t>
                  </w:r>
                </w:p>
              </w:tc>
              <w:tc>
                <w:tcPr>
                  <w:tcW w:w="476"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eastAsia="宋体" w:cs="Times New Roman"/>
                      <w:sz w:val="18"/>
                      <w:szCs w:val="18"/>
                    </w:rPr>
                    <w:t>生活垃圾</w:t>
                  </w:r>
                </w:p>
              </w:tc>
              <w:tc>
                <w:tcPr>
                  <w:tcW w:w="27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eastAsia="zh-CN"/>
                    </w:rPr>
                  </w:pPr>
                  <w:r>
                    <w:rPr>
                      <w:rFonts w:hint="default" w:ascii="Times New Roman" w:hAnsi="Times New Roman" w:eastAsia="宋体" w:cs="Times New Roman"/>
                      <w:color w:val="auto"/>
                      <w:sz w:val="18"/>
                      <w:szCs w:val="18"/>
                      <w:highlight w:val="none"/>
                      <w:lang w:val="en-US" w:eastAsia="zh-CN"/>
                    </w:rPr>
                    <w:t>生活垃圾</w:t>
                  </w:r>
                </w:p>
              </w:tc>
              <w:tc>
                <w:tcPr>
                  <w:tcW w:w="445"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val="en-US" w:eastAsia="zh-CN"/>
                    </w:rPr>
                  </w:pPr>
                  <w:r>
                    <w:rPr>
                      <w:rFonts w:hint="default" w:ascii="Times New Roman" w:hAnsi="Times New Roman" w:eastAsia="宋体" w:cs="Times New Roman"/>
                      <w:color w:val="auto"/>
                      <w:kern w:val="2"/>
                      <w:sz w:val="18"/>
                      <w:szCs w:val="18"/>
                      <w:highlight w:val="none"/>
                      <w:lang w:val="en-US" w:eastAsia="zh-CN" w:bidi="ar-SA"/>
                    </w:rPr>
                    <w:t>99</w:t>
                  </w:r>
                </w:p>
              </w:tc>
              <w:tc>
                <w:tcPr>
                  <w:tcW w:w="471"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sz w:val="18"/>
                      <w:szCs w:val="18"/>
                    </w:rPr>
                  </w:pPr>
                  <w:r>
                    <w:rPr>
                      <w:rFonts w:hint="default" w:ascii="Times New Roman" w:hAnsi="Times New Roman" w:eastAsia="宋体" w:cs="Times New Roman"/>
                      <w:color w:val="auto"/>
                      <w:kern w:val="2"/>
                      <w:sz w:val="18"/>
                      <w:szCs w:val="18"/>
                      <w:highlight w:val="none"/>
                      <w:lang w:val="en-US" w:eastAsia="zh-CN" w:bidi="ar-SA"/>
                    </w:rPr>
                    <w:t>900-999-99</w:t>
                  </w:r>
                </w:p>
              </w:tc>
              <w:tc>
                <w:tcPr>
                  <w:tcW w:w="390" w:type="pct"/>
                  <w:tcBorders>
                    <w:tl2br w:val="nil"/>
                    <w:tr2bl w:val="nil"/>
                  </w:tcBorders>
                  <w:noWrap w:val="0"/>
                  <w:vAlign w:val="center"/>
                </w:tcPr>
                <w:p>
                  <w:pPr>
                    <w:adjustRightInd w:val="0"/>
                    <w:snapToGrid w:val="0"/>
                    <w:jc w:val="center"/>
                    <w:rPr>
                      <w:rFonts w:hint="default"/>
                      <w:sz w:val="18"/>
                      <w:szCs w:val="18"/>
                      <w:highlight w:val="yellow"/>
                      <w:lang w:val="en-US" w:eastAsia="zh-CN"/>
                    </w:rPr>
                  </w:pPr>
                  <w:r>
                    <w:rPr>
                      <w:rFonts w:hint="eastAsia" w:cs="Times New Roman"/>
                      <w:color w:val="auto"/>
                      <w:sz w:val="18"/>
                      <w:szCs w:val="18"/>
                      <w:highlight w:val="none"/>
                      <w:lang w:val="en-US" w:eastAsia="zh-CN"/>
                    </w:rPr>
                    <w:t>10</w:t>
                  </w:r>
                </w:p>
              </w:tc>
              <w:tc>
                <w:tcPr>
                  <w:tcW w:w="382"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eastAsia="宋体" w:cs="Times New Roman"/>
                      <w:color w:val="auto"/>
                      <w:sz w:val="18"/>
                      <w:szCs w:val="18"/>
                      <w:highlight w:val="none"/>
                    </w:rPr>
                    <w:t>生活</w:t>
                  </w:r>
                </w:p>
              </w:tc>
              <w:tc>
                <w:tcPr>
                  <w:tcW w:w="213"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eastAsia="宋体" w:cs="Times New Roman"/>
                      <w:color w:val="auto"/>
                      <w:sz w:val="18"/>
                      <w:szCs w:val="18"/>
                      <w:highlight w:val="none"/>
                    </w:rPr>
                    <w:t>固</w:t>
                  </w:r>
                </w:p>
              </w:tc>
              <w:tc>
                <w:tcPr>
                  <w:tcW w:w="467"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eastAsia="宋体" w:cs="Times New Roman"/>
                      <w:color w:val="auto"/>
                      <w:sz w:val="18"/>
                      <w:szCs w:val="18"/>
                      <w:highlight w:val="none"/>
                    </w:rPr>
                    <w:t>生活垃圾</w:t>
                  </w:r>
                </w:p>
              </w:tc>
              <w:tc>
                <w:tcPr>
                  <w:tcW w:w="396"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sz w:val="18"/>
                      <w:szCs w:val="18"/>
                      <w:lang w:eastAsia="zh-CN"/>
                    </w:rPr>
                  </w:pPr>
                  <w:r>
                    <w:rPr>
                      <w:rFonts w:hint="default" w:ascii="Times New Roman" w:hAnsi="Times New Roman" w:eastAsia="宋体" w:cs="Times New Roman"/>
                      <w:color w:val="auto"/>
                      <w:kern w:val="2"/>
                      <w:sz w:val="18"/>
                      <w:szCs w:val="18"/>
                      <w:highlight w:val="none"/>
                      <w:lang w:val="en-US" w:eastAsia="zh-CN" w:bidi="ar-SA"/>
                    </w:rPr>
                    <w:t>/</w:t>
                  </w:r>
                </w:p>
              </w:tc>
              <w:tc>
                <w:tcPr>
                  <w:tcW w:w="274"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eastAsia"/>
                      <w:sz w:val="18"/>
                      <w:szCs w:val="18"/>
                      <w:lang w:val="en-US" w:eastAsia="zh-CN"/>
                    </w:rPr>
                    <w:t>/</w:t>
                  </w:r>
                </w:p>
              </w:tc>
              <w:tc>
                <w:tcPr>
                  <w:tcW w:w="316"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ascii="Times New Roman" w:hAnsi="Times New Roman" w:eastAsia="宋体" w:cs="Times New Roman"/>
                      <w:color w:val="auto"/>
                      <w:sz w:val="18"/>
                      <w:szCs w:val="18"/>
                      <w:highlight w:val="none"/>
                      <w:lang w:val="en-US" w:eastAsia="zh-CN"/>
                    </w:rPr>
                    <w:t>桶装</w:t>
                  </w:r>
                </w:p>
              </w:tc>
              <w:tc>
                <w:tcPr>
                  <w:tcW w:w="63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ascii="Times New Roman" w:hAnsi="Times New Roman" w:eastAsia="宋体" w:cs="Times New Roman"/>
                      <w:color w:val="auto"/>
                      <w:sz w:val="18"/>
                      <w:szCs w:val="18"/>
                      <w:highlight w:val="none"/>
                      <w:lang w:val="en-US" w:eastAsia="zh-CN"/>
                    </w:rPr>
                    <w:t>环卫处置</w:t>
                  </w:r>
                </w:p>
              </w:tc>
            </w:tr>
          </w:tbl>
          <w:p>
            <w:pPr>
              <w:keepNext w:val="0"/>
              <w:keepLines w:val="0"/>
              <w:pageBreakBefore w:val="0"/>
              <w:widowControl w:val="0"/>
              <w:tabs>
                <w:tab w:val="left" w:pos="993"/>
                <w:tab w:val="left" w:pos="1276"/>
                <w:tab w:val="center" w:pos="4575"/>
              </w:tabs>
              <w:kinsoku/>
              <w:wordWrap/>
              <w:overflowPunct/>
              <w:topLinePunct w:val="0"/>
              <w:autoSpaceDE/>
              <w:autoSpaceDN/>
              <w:bidi w:val="0"/>
              <w:adjustRightInd/>
              <w:snapToGrid/>
              <w:jc w:val="center"/>
              <w:textAlignment w:val="auto"/>
              <w:rPr>
                <w:rFonts w:hint="default"/>
                <w:b/>
                <w:bCs/>
              </w:rPr>
            </w:pPr>
            <w:r>
              <w:rPr>
                <w:rFonts w:hint="default"/>
                <w:b/>
                <w:bCs/>
                <w:sz w:val="21"/>
                <w:szCs w:val="21"/>
              </w:rPr>
              <w:t>表</w:t>
            </w:r>
            <w:r>
              <w:rPr>
                <w:rFonts w:hint="default"/>
                <w:b/>
                <w:bCs/>
                <w:sz w:val="21"/>
                <w:szCs w:val="21"/>
                <w:lang w:val="en-US" w:eastAsia="zh-CN"/>
              </w:rPr>
              <w:t>4-</w:t>
            </w:r>
            <w:r>
              <w:rPr>
                <w:rFonts w:hint="eastAsia"/>
                <w:b/>
                <w:bCs/>
                <w:sz w:val="21"/>
                <w:szCs w:val="21"/>
                <w:lang w:val="en-US" w:eastAsia="zh-CN"/>
              </w:rPr>
              <w:t>21</w:t>
            </w:r>
            <w:r>
              <w:rPr>
                <w:rFonts w:hint="default"/>
                <w:b/>
                <w:bCs/>
                <w:sz w:val="21"/>
                <w:szCs w:val="21"/>
              </w:rPr>
              <w:t xml:space="preserve"> </w:t>
            </w:r>
            <w:r>
              <w:rPr>
                <w:rFonts w:hint="eastAsia"/>
                <w:b/>
                <w:bCs/>
                <w:sz w:val="21"/>
                <w:szCs w:val="21"/>
                <w:lang w:val="en-US" w:eastAsia="zh-CN"/>
              </w:rPr>
              <w:t xml:space="preserve"> 全厂</w:t>
            </w:r>
            <w:r>
              <w:rPr>
                <w:rFonts w:hint="default"/>
                <w:b/>
                <w:bCs/>
                <w:sz w:val="21"/>
                <w:szCs w:val="21"/>
              </w:rPr>
              <w:t>营运期</w:t>
            </w:r>
            <w:r>
              <w:rPr>
                <w:rFonts w:hint="eastAsia"/>
                <w:b/>
                <w:bCs/>
                <w:sz w:val="21"/>
                <w:szCs w:val="21"/>
                <w:lang w:val="en-US" w:eastAsia="zh-CN"/>
              </w:rPr>
              <w:t>固体</w:t>
            </w:r>
            <w:r>
              <w:rPr>
                <w:rFonts w:hint="default"/>
                <w:b/>
                <w:bCs/>
                <w:sz w:val="21"/>
                <w:szCs w:val="21"/>
              </w:rPr>
              <w:t>废物汇总表</w:t>
            </w:r>
          </w:p>
          <w:tbl>
            <w:tblPr>
              <w:tblStyle w:val="1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7"/>
              <w:gridCol w:w="763"/>
              <w:gridCol w:w="509"/>
              <w:gridCol w:w="623"/>
              <w:gridCol w:w="705"/>
              <w:gridCol w:w="544"/>
              <w:gridCol w:w="543"/>
              <w:gridCol w:w="381"/>
              <w:gridCol w:w="861"/>
              <w:gridCol w:w="606"/>
              <w:gridCol w:w="486"/>
              <w:gridCol w:w="524"/>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序号</w:t>
                  </w:r>
                </w:p>
              </w:tc>
              <w:tc>
                <w:tcPr>
                  <w:tcW w:w="494"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废物名称</w:t>
                  </w:r>
                </w:p>
              </w:tc>
              <w:tc>
                <w:tcPr>
                  <w:tcW w:w="329"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eastAsia="宋体"/>
                      <w:b/>
                      <w:bCs/>
                      <w:sz w:val="18"/>
                      <w:szCs w:val="18"/>
                      <w:lang w:val="en-US" w:eastAsia="zh-CN"/>
                    </w:rPr>
                  </w:pPr>
                  <w:r>
                    <w:rPr>
                      <w:rFonts w:hint="eastAsia"/>
                      <w:b/>
                      <w:bCs/>
                      <w:sz w:val="18"/>
                      <w:szCs w:val="18"/>
                      <w:lang w:val="en-US" w:eastAsia="zh-CN"/>
                    </w:rPr>
                    <w:t>属性</w:t>
                  </w:r>
                </w:p>
              </w:tc>
              <w:tc>
                <w:tcPr>
                  <w:tcW w:w="403"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危险废物类别</w:t>
                  </w:r>
                </w:p>
              </w:tc>
              <w:tc>
                <w:tcPr>
                  <w:tcW w:w="457"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危险废物</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代码</w:t>
                  </w:r>
                </w:p>
              </w:tc>
              <w:tc>
                <w:tcPr>
                  <w:tcW w:w="352"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产生量(t/a)</w:t>
                  </w:r>
                </w:p>
              </w:tc>
              <w:tc>
                <w:tcPr>
                  <w:tcW w:w="351"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highlight w:val="none"/>
                    </w:rPr>
                  </w:pPr>
                  <w:r>
                    <w:rPr>
                      <w:rFonts w:hint="default"/>
                      <w:b/>
                      <w:bCs/>
                      <w:sz w:val="18"/>
                      <w:szCs w:val="18"/>
                      <w:highlight w:val="none"/>
                    </w:rPr>
                    <w:t>产生</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highlight w:val="none"/>
                    </w:rPr>
                    <w:t>工序</w:t>
                  </w:r>
                </w:p>
              </w:tc>
              <w:tc>
                <w:tcPr>
                  <w:tcW w:w="247"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形态</w:t>
                  </w:r>
                </w:p>
              </w:tc>
              <w:tc>
                <w:tcPr>
                  <w:tcW w:w="558"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主要</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成分</w:t>
                  </w:r>
                </w:p>
              </w:tc>
              <w:tc>
                <w:tcPr>
                  <w:tcW w:w="392"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有害</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成分</w:t>
                  </w:r>
                </w:p>
              </w:tc>
              <w:tc>
                <w:tcPr>
                  <w:tcW w:w="314"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危险</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特性</w:t>
                  </w:r>
                </w:p>
              </w:tc>
              <w:tc>
                <w:tcPr>
                  <w:tcW w:w="910" w:type="pct"/>
                  <w:gridSpan w:val="2"/>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94"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2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03"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457"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52"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51"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247"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558"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92"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14"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贮存</w:t>
                  </w:r>
                </w:p>
                <w:p>
                  <w:pPr>
                    <w:keepNext w:val="0"/>
                    <w:keepLines w:val="0"/>
                    <w:pageBreakBefore w:val="0"/>
                    <w:kinsoku/>
                    <w:wordWrap/>
                    <w:overflowPunct/>
                    <w:topLinePunct w:val="0"/>
                    <w:bidi w:val="0"/>
                    <w:adjustRightInd/>
                    <w:snapToGrid/>
                    <w:jc w:val="center"/>
                    <w:rPr>
                      <w:rFonts w:hint="default"/>
                      <w:b/>
                      <w:bCs/>
                      <w:sz w:val="18"/>
                      <w:szCs w:val="18"/>
                    </w:rPr>
                  </w:pPr>
                  <w:r>
                    <w:rPr>
                      <w:rFonts w:hint="default"/>
                      <w:b/>
                      <w:bCs/>
                      <w:sz w:val="18"/>
                      <w:szCs w:val="18"/>
                    </w:rPr>
                    <w:t>方式</w:t>
                  </w:r>
                </w:p>
              </w:tc>
              <w:tc>
                <w:tcPr>
                  <w:tcW w:w="57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b/>
                      <w:bCs/>
                      <w:sz w:val="18"/>
                      <w:szCs w:val="18"/>
                      <w:lang w:val="en-US" w:eastAsia="zh-CN"/>
                    </w:rPr>
                  </w:pPr>
                  <w:r>
                    <w:rPr>
                      <w:rFonts w:hint="default"/>
                      <w:b/>
                      <w:bCs/>
                      <w:sz w:val="18"/>
                      <w:szCs w:val="18"/>
                    </w:rPr>
                    <w:t>利用处置方式</w:t>
                  </w:r>
                  <w:r>
                    <w:rPr>
                      <w:rFonts w:hint="default"/>
                      <w:b/>
                      <w:bCs/>
                      <w:sz w:val="18"/>
                      <w:szCs w:val="18"/>
                      <w:lang w:val="en-US" w:eastAsia="zh-CN"/>
                    </w:rPr>
                    <w:t>和去向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cs="Times New Roman"/>
                      <w:color w:val="auto"/>
                      <w:sz w:val="18"/>
                      <w:szCs w:val="18"/>
                      <w:lang w:val="en-US" w:eastAsia="zh-CN"/>
                    </w:rPr>
                    <w:t>1</w:t>
                  </w:r>
                </w:p>
              </w:tc>
              <w:tc>
                <w:tcPr>
                  <w:tcW w:w="494" w:type="pct"/>
                  <w:tcBorders>
                    <w:tl2br w:val="nil"/>
                    <w:tr2bl w:val="nil"/>
                  </w:tcBorders>
                  <w:noWrap w:val="0"/>
                  <w:vAlign w:val="center"/>
                </w:tcPr>
                <w:p>
                  <w:pPr>
                    <w:tabs>
                      <w:tab w:val="left" w:pos="993"/>
                      <w:tab w:val="left" w:pos="1276"/>
                    </w:tabs>
                    <w:adjustRightInd w:val="0"/>
                    <w:snapToGrid w:val="0"/>
                    <w:jc w:val="center"/>
                    <w:rPr>
                      <w:rFonts w:hint="default"/>
                      <w:sz w:val="18"/>
                      <w:szCs w:val="18"/>
                      <w:lang w:val="zh-CN" w:eastAsia="zh-CN"/>
                    </w:rPr>
                  </w:pPr>
                  <w:r>
                    <w:rPr>
                      <w:rFonts w:hint="eastAsia" w:ascii="Times New Roman" w:hAnsi="Times New Roman" w:cs="Times New Roman"/>
                      <w:color w:val="auto"/>
                      <w:sz w:val="18"/>
                      <w:szCs w:val="18"/>
                      <w:lang w:val="en-US" w:eastAsia="zh-CN"/>
                    </w:rPr>
                    <w:t>废塑料</w:t>
                  </w:r>
                </w:p>
              </w:tc>
              <w:tc>
                <w:tcPr>
                  <w:tcW w:w="329" w:type="pct"/>
                  <w:vMerge w:val="restar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一般固废</w:t>
                  </w:r>
                </w:p>
              </w:tc>
              <w:tc>
                <w:tcPr>
                  <w:tcW w:w="403"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sz w:val="18"/>
                      <w:szCs w:val="18"/>
                    </w:rPr>
                  </w:pPr>
                  <w:r>
                    <w:rPr>
                      <w:rFonts w:hint="eastAsia" w:ascii="Times New Roman" w:hAnsi="Times New Roman" w:eastAsia="宋体" w:cs="Times New Roman"/>
                      <w:color w:val="auto"/>
                      <w:kern w:val="2"/>
                      <w:sz w:val="18"/>
                      <w:szCs w:val="18"/>
                      <w:highlight w:val="none"/>
                      <w:lang w:val="en-US" w:eastAsia="zh-CN" w:bidi="ar-SA"/>
                    </w:rPr>
                    <w:t>06</w:t>
                  </w:r>
                </w:p>
              </w:tc>
              <w:tc>
                <w:tcPr>
                  <w:tcW w:w="457"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sz w:val="18"/>
                      <w:szCs w:val="18"/>
                    </w:rPr>
                  </w:pPr>
                  <w:r>
                    <w:rPr>
                      <w:rFonts w:hint="eastAsia" w:ascii="Times New Roman" w:hAnsi="Times New Roman" w:eastAsia="宋体" w:cs="Times New Roman"/>
                      <w:color w:val="auto"/>
                      <w:kern w:val="2"/>
                      <w:sz w:val="18"/>
                      <w:szCs w:val="18"/>
                      <w:highlight w:val="none"/>
                      <w:lang w:val="en-US" w:eastAsia="zh-CN" w:bidi="ar-SA"/>
                    </w:rPr>
                    <w:t>292-001-06</w:t>
                  </w:r>
                </w:p>
              </w:tc>
              <w:tc>
                <w:tcPr>
                  <w:tcW w:w="352"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ascii="Times New Roman" w:hAnsi="Times New Roman" w:eastAsia="宋体" w:cs="Times New Roman"/>
                      <w:color w:val="auto"/>
                      <w:sz w:val="18"/>
                      <w:szCs w:val="18"/>
                      <w:highlight w:val="none"/>
                      <w:lang w:val="en-US" w:eastAsia="zh-CN"/>
                    </w:rPr>
                    <w:t>1.405</w:t>
                  </w:r>
                </w:p>
              </w:tc>
              <w:tc>
                <w:tcPr>
                  <w:tcW w:w="351"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注塑</w:t>
                  </w:r>
                </w:p>
              </w:tc>
              <w:tc>
                <w:tcPr>
                  <w:tcW w:w="247"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lang w:eastAsia="zh-CN"/>
                    </w:rPr>
                    <w:t>固</w:t>
                  </w:r>
                </w:p>
              </w:tc>
              <w:tc>
                <w:tcPr>
                  <w:tcW w:w="558"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塑料</w:t>
                  </w:r>
                </w:p>
              </w:tc>
              <w:tc>
                <w:tcPr>
                  <w:tcW w:w="392"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w:t>
                  </w:r>
                </w:p>
              </w:tc>
              <w:tc>
                <w:tcPr>
                  <w:tcW w:w="314" w:type="pct"/>
                  <w:tcBorders>
                    <w:tl2br w:val="nil"/>
                    <w:tr2bl w:val="nil"/>
                  </w:tcBorders>
                  <w:noWrap w:val="0"/>
                  <w:vAlign w:val="center"/>
                </w:tcPr>
                <w:p>
                  <w:pPr>
                    <w:adjustRightInd w:val="0"/>
                    <w:snapToGrid w:val="0"/>
                    <w:jc w:val="center"/>
                    <w:rPr>
                      <w:rFonts w:hint="eastAsia" w:eastAsia="宋体"/>
                      <w:sz w:val="18"/>
                      <w:szCs w:val="18"/>
                      <w:lang w:eastAsia="zh-CN"/>
                    </w:rPr>
                  </w:pPr>
                  <w:r>
                    <w:rPr>
                      <w:rFonts w:hint="eastAsia"/>
                      <w:sz w:val="18"/>
                      <w:szCs w:val="18"/>
                      <w:lang w:val="en-US" w:eastAsia="zh-CN"/>
                    </w:rPr>
                    <w:t>/</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eastAsia"/>
                      <w:sz w:val="18"/>
                      <w:szCs w:val="18"/>
                      <w:lang w:val="en-US" w:eastAsia="zh-CN"/>
                    </w:rPr>
                    <w:t>袋装</w:t>
                  </w:r>
                </w:p>
              </w:tc>
              <w:tc>
                <w:tcPr>
                  <w:tcW w:w="570"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eastAsia="宋体"/>
                      <w:sz w:val="18"/>
                      <w:szCs w:val="18"/>
                      <w:lang w:val="en-US" w:eastAsia="zh-CN"/>
                    </w:rPr>
                  </w:pPr>
                  <w:r>
                    <w:rPr>
                      <w:rFonts w:hint="default" w:ascii="Times New Roman" w:hAnsi="Times New Roman" w:eastAsia="宋体" w:cs="Times New Roman"/>
                      <w:color w:val="auto"/>
                      <w:sz w:val="18"/>
                      <w:szCs w:val="18"/>
                      <w:highlight w:val="none"/>
                      <w:lang w:val="en-US" w:eastAsia="zh-CN"/>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ascii="Times New Roman" w:hAnsi="Times New Roman" w:cs="Times New Roman"/>
                      <w:color w:val="auto"/>
                      <w:sz w:val="18"/>
                      <w:szCs w:val="18"/>
                      <w:lang w:val="en-US" w:eastAsia="zh-CN"/>
                    </w:rPr>
                    <w:t>2</w:t>
                  </w:r>
                </w:p>
              </w:tc>
              <w:tc>
                <w:tcPr>
                  <w:tcW w:w="494"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cs="Times New Roman"/>
                      <w:color w:val="auto"/>
                      <w:sz w:val="18"/>
                      <w:szCs w:val="18"/>
                      <w:lang w:eastAsia="zh-CN"/>
                    </w:rPr>
                    <w:t>废包装材料</w:t>
                  </w:r>
                </w:p>
              </w:tc>
              <w:tc>
                <w:tcPr>
                  <w:tcW w:w="329" w:type="pct"/>
                  <w:vMerge w:val="continue"/>
                  <w:tcBorders>
                    <w:tl2br w:val="nil"/>
                    <w:tr2bl w:val="nil"/>
                  </w:tcBorders>
                  <w:noWrap w:val="0"/>
                  <w:vAlign w:val="center"/>
                </w:tcPr>
                <w:p>
                  <w:pPr>
                    <w:adjustRightInd w:val="0"/>
                    <w:snapToGrid w:val="0"/>
                    <w:jc w:val="center"/>
                    <w:rPr>
                      <w:rFonts w:hint="default"/>
                      <w:sz w:val="18"/>
                      <w:szCs w:val="18"/>
                      <w:lang w:val="en-US" w:eastAsia="zh-CN"/>
                    </w:rPr>
                  </w:pPr>
                </w:p>
              </w:tc>
              <w:tc>
                <w:tcPr>
                  <w:tcW w:w="403"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cs="Times New Roman"/>
                      <w:color w:val="auto"/>
                      <w:sz w:val="18"/>
                      <w:szCs w:val="18"/>
                      <w:lang w:val="en-US" w:eastAsia="zh-CN"/>
                    </w:rPr>
                    <w:t>07</w:t>
                  </w:r>
                </w:p>
              </w:tc>
              <w:tc>
                <w:tcPr>
                  <w:tcW w:w="457" w:type="pct"/>
                  <w:tcBorders>
                    <w:tl2br w:val="nil"/>
                    <w:tr2bl w:val="nil"/>
                  </w:tcBorders>
                  <w:noWrap w:val="0"/>
                  <w:vAlign w:val="center"/>
                </w:tcPr>
                <w:p>
                  <w:pPr>
                    <w:adjustRightInd w:val="0"/>
                    <w:snapToGrid w:val="0"/>
                    <w:jc w:val="center"/>
                    <w:rPr>
                      <w:rFonts w:hint="default"/>
                      <w:sz w:val="18"/>
                      <w:szCs w:val="18"/>
                    </w:rPr>
                  </w:pPr>
                  <w:r>
                    <w:rPr>
                      <w:rFonts w:hint="eastAsia" w:ascii="Times New Roman" w:hAnsi="Times New Roman" w:eastAsia="宋体" w:cs="Times New Roman"/>
                      <w:color w:val="auto"/>
                      <w:kern w:val="2"/>
                      <w:sz w:val="18"/>
                      <w:szCs w:val="18"/>
                      <w:highlight w:val="none"/>
                      <w:lang w:val="en-US" w:eastAsia="zh-CN" w:bidi="ar-SA"/>
                    </w:rPr>
                    <w:t>900-999-</w:t>
                  </w:r>
                  <w:r>
                    <w:rPr>
                      <w:rFonts w:hint="eastAsia" w:cs="Times New Roman"/>
                      <w:color w:val="auto"/>
                      <w:sz w:val="18"/>
                      <w:szCs w:val="18"/>
                      <w:shd w:val="clear" w:color="auto" w:fill="FFFFFF"/>
                      <w:lang w:val="en-US" w:eastAsia="zh-CN"/>
                    </w:rPr>
                    <w:t>07</w:t>
                  </w:r>
                </w:p>
              </w:tc>
              <w:tc>
                <w:tcPr>
                  <w:tcW w:w="352" w:type="pct"/>
                  <w:tcBorders>
                    <w:tl2br w:val="nil"/>
                    <w:tr2bl w:val="nil"/>
                  </w:tcBorders>
                  <w:noWrap w:val="0"/>
                  <w:vAlign w:val="center"/>
                </w:tcPr>
                <w:p>
                  <w:pPr>
                    <w:adjustRightInd w:val="0"/>
                    <w:snapToGrid w:val="0"/>
                    <w:jc w:val="center"/>
                    <w:rPr>
                      <w:rFonts w:hint="default"/>
                      <w:sz w:val="18"/>
                      <w:szCs w:val="18"/>
                      <w:highlight w:val="yellow"/>
                      <w:lang w:val="en-US" w:eastAsia="zh-CN"/>
                    </w:rPr>
                  </w:pPr>
                  <w:r>
                    <w:rPr>
                      <w:rFonts w:hint="eastAsia" w:cs="Times New Roman"/>
                      <w:sz w:val="18"/>
                      <w:szCs w:val="18"/>
                      <w:lang w:val="en-US" w:eastAsia="zh-CN"/>
                    </w:rPr>
                    <w:t>2</w:t>
                  </w:r>
                </w:p>
              </w:tc>
              <w:tc>
                <w:tcPr>
                  <w:tcW w:w="351"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rPr>
                    <w:t>原料包装</w:t>
                  </w:r>
                </w:p>
              </w:tc>
              <w:tc>
                <w:tcPr>
                  <w:tcW w:w="247" w:type="pct"/>
                  <w:tcBorders>
                    <w:tl2br w:val="nil"/>
                    <w:tr2bl w:val="nil"/>
                  </w:tcBorders>
                  <w:noWrap w:val="0"/>
                  <w:vAlign w:val="center"/>
                </w:tcPr>
                <w:p>
                  <w:pPr>
                    <w:adjustRightInd w:val="0"/>
                    <w:snapToGrid w:val="0"/>
                    <w:jc w:val="center"/>
                    <w:rPr>
                      <w:rFonts w:hint="default"/>
                      <w:sz w:val="18"/>
                      <w:szCs w:val="18"/>
                      <w:lang w:eastAsia="zh-CN"/>
                    </w:rPr>
                  </w:pPr>
                  <w:r>
                    <w:rPr>
                      <w:rFonts w:hint="default"/>
                      <w:sz w:val="18"/>
                      <w:szCs w:val="18"/>
                      <w:lang w:eastAsia="zh-CN"/>
                    </w:rPr>
                    <w:t>固</w:t>
                  </w:r>
                </w:p>
              </w:tc>
              <w:tc>
                <w:tcPr>
                  <w:tcW w:w="558"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纸板</w:t>
                  </w:r>
                </w:p>
              </w:tc>
              <w:tc>
                <w:tcPr>
                  <w:tcW w:w="392"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w:t>
                  </w:r>
                </w:p>
              </w:tc>
              <w:tc>
                <w:tcPr>
                  <w:tcW w:w="314" w:type="pct"/>
                  <w:tcBorders>
                    <w:tl2br w:val="nil"/>
                    <w:tr2bl w:val="nil"/>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eastAsia="宋体"/>
                      <w:sz w:val="18"/>
                      <w:szCs w:val="18"/>
                      <w:lang w:val="en-US" w:eastAsia="zh-CN"/>
                    </w:rPr>
                  </w:pPr>
                  <w:r>
                    <w:rPr>
                      <w:rFonts w:hint="eastAsia"/>
                      <w:sz w:val="18"/>
                      <w:szCs w:val="18"/>
                      <w:lang w:val="en-US" w:eastAsia="zh-CN"/>
                    </w:rPr>
                    <w:t>袋装</w:t>
                  </w:r>
                </w:p>
              </w:tc>
              <w:tc>
                <w:tcPr>
                  <w:tcW w:w="570"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ascii="Times New Roman" w:hAnsi="Times New Roman" w:cs="Times New Roman"/>
                      <w:color w:val="auto"/>
                      <w:sz w:val="18"/>
                      <w:szCs w:val="18"/>
                      <w:lang w:val="en-US" w:eastAsia="zh-CN"/>
                    </w:rPr>
                    <w:t>3</w:t>
                  </w:r>
                </w:p>
              </w:tc>
              <w:tc>
                <w:tcPr>
                  <w:tcW w:w="494"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废</w:t>
                  </w:r>
                  <w:r>
                    <w:rPr>
                      <w:rFonts w:hint="default" w:ascii="Times New Roman" w:hAnsi="Times New Roman" w:cs="Times New Roman"/>
                      <w:sz w:val="18"/>
                      <w:szCs w:val="18"/>
                      <w:lang w:val="en-US" w:eastAsia="zh-CN"/>
                    </w:rPr>
                    <w:t>液压</w:t>
                  </w:r>
                  <w:r>
                    <w:rPr>
                      <w:rFonts w:hint="default" w:ascii="Times New Roman" w:hAnsi="Times New Roman" w:cs="Times New Roman"/>
                      <w:sz w:val="18"/>
                      <w:szCs w:val="18"/>
                    </w:rPr>
                    <w:t>油</w:t>
                  </w:r>
                </w:p>
              </w:tc>
              <w:tc>
                <w:tcPr>
                  <w:tcW w:w="329" w:type="pct"/>
                  <w:vMerge w:val="restart"/>
                  <w:tcBorders>
                    <w:tl2br w:val="nil"/>
                    <w:tr2bl w:val="nil"/>
                  </w:tcBorders>
                  <w:noWrap w:val="0"/>
                  <w:vAlign w:val="center"/>
                </w:tcPr>
                <w:p>
                  <w:pPr>
                    <w:adjustRightInd w:val="0"/>
                    <w:snapToGrid w:val="0"/>
                    <w:jc w:val="center"/>
                    <w:rPr>
                      <w:rFonts w:hint="default"/>
                      <w:sz w:val="18"/>
                      <w:szCs w:val="18"/>
                      <w:lang w:eastAsia="zh-CN"/>
                    </w:rPr>
                  </w:pPr>
                  <w:r>
                    <w:rPr>
                      <w:rFonts w:hint="eastAsia"/>
                      <w:sz w:val="18"/>
                      <w:szCs w:val="18"/>
                      <w:lang w:val="en-US" w:eastAsia="zh-CN"/>
                    </w:rPr>
                    <w:t>危险废物</w:t>
                  </w:r>
                </w:p>
              </w:tc>
              <w:tc>
                <w:tcPr>
                  <w:tcW w:w="403"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rPr>
                    <w:t>HW08</w:t>
                  </w:r>
                </w:p>
              </w:tc>
              <w:tc>
                <w:tcPr>
                  <w:tcW w:w="457" w:type="pct"/>
                  <w:tcBorders>
                    <w:tl2br w:val="nil"/>
                    <w:tr2bl w:val="nil"/>
                  </w:tcBorders>
                  <w:noWrap w:val="0"/>
                  <w:vAlign w:val="center"/>
                </w:tcPr>
                <w:p>
                  <w:pPr>
                    <w:adjustRightInd w:val="0"/>
                    <w:snapToGrid w:val="0"/>
                    <w:jc w:val="center"/>
                    <w:rPr>
                      <w:rFonts w:hint="default"/>
                      <w:sz w:val="18"/>
                      <w:szCs w:val="18"/>
                    </w:rPr>
                  </w:pPr>
                  <w:r>
                    <w:rPr>
                      <w:rFonts w:hint="default"/>
                      <w:sz w:val="18"/>
                      <w:szCs w:val="18"/>
                    </w:rPr>
                    <w:t>900-2</w:t>
                  </w:r>
                  <w:r>
                    <w:rPr>
                      <w:rFonts w:hint="default"/>
                      <w:sz w:val="18"/>
                      <w:szCs w:val="18"/>
                      <w:lang w:val="en-US" w:eastAsia="zh-CN"/>
                    </w:rPr>
                    <w:t>1</w:t>
                  </w:r>
                  <w:r>
                    <w:rPr>
                      <w:rFonts w:hint="eastAsia"/>
                      <w:sz w:val="18"/>
                      <w:szCs w:val="18"/>
                      <w:lang w:val="en-US" w:eastAsia="zh-CN"/>
                    </w:rPr>
                    <w:t>7</w:t>
                  </w:r>
                  <w:r>
                    <w:rPr>
                      <w:rFonts w:hint="default"/>
                      <w:sz w:val="18"/>
                      <w:szCs w:val="18"/>
                    </w:rPr>
                    <w:t>-08</w:t>
                  </w:r>
                </w:p>
              </w:tc>
              <w:tc>
                <w:tcPr>
                  <w:tcW w:w="352" w:type="pct"/>
                  <w:tcBorders>
                    <w:tl2br w:val="nil"/>
                    <w:tr2bl w:val="nil"/>
                  </w:tcBorders>
                  <w:noWrap w:val="0"/>
                  <w:vAlign w:val="center"/>
                </w:tcPr>
                <w:p>
                  <w:pPr>
                    <w:adjustRightInd w:val="0"/>
                    <w:snapToGrid w:val="0"/>
                    <w:jc w:val="center"/>
                    <w:rPr>
                      <w:rFonts w:hint="default"/>
                      <w:sz w:val="18"/>
                      <w:szCs w:val="18"/>
                      <w:highlight w:val="yellow"/>
                      <w:lang w:val="en-US" w:eastAsia="zh-CN"/>
                    </w:rPr>
                  </w:pPr>
                  <w:r>
                    <w:rPr>
                      <w:rFonts w:hint="eastAsia" w:cs="Times New Roman"/>
                      <w:color w:val="auto"/>
                      <w:sz w:val="18"/>
                      <w:szCs w:val="18"/>
                      <w:lang w:val="en-US" w:eastAsia="zh-CN"/>
                    </w:rPr>
                    <w:t>1</w:t>
                  </w:r>
                </w:p>
              </w:tc>
              <w:tc>
                <w:tcPr>
                  <w:tcW w:w="351" w:type="pct"/>
                  <w:tcBorders>
                    <w:tl2br w:val="nil"/>
                    <w:tr2bl w:val="nil"/>
                  </w:tcBorders>
                  <w:noWrap w:val="0"/>
                  <w:vAlign w:val="center"/>
                </w:tcPr>
                <w:p>
                  <w:pPr>
                    <w:adjustRightInd w:val="0"/>
                    <w:snapToGrid w:val="0"/>
                    <w:jc w:val="center"/>
                    <w:rPr>
                      <w:rFonts w:hint="default"/>
                      <w:sz w:val="18"/>
                      <w:szCs w:val="18"/>
                      <w:lang w:eastAsia="zh-CN"/>
                    </w:rPr>
                  </w:pPr>
                  <w:r>
                    <w:rPr>
                      <w:rFonts w:hint="default"/>
                      <w:sz w:val="18"/>
                      <w:szCs w:val="18"/>
                    </w:rPr>
                    <w:t>原料包装</w:t>
                  </w:r>
                </w:p>
              </w:tc>
              <w:tc>
                <w:tcPr>
                  <w:tcW w:w="247" w:type="pct"/>
                  <w:tcBorders>
                    <w:tl2br w:val="nil"/>
                    <w:tr2bl w:val="nil"/>
                  </w:tcBorders>
                  <w:noWrap w:val="0"/>
                  <w:vAlign w:val="center"/>
                </w:tcPr>
                <w:p>
                  <w:pPr>
                    <w:adjustRightInd w:val="0"/>
                    <w:snapToGrid w:val="0"/>
                    <w:jc w:val="center"/>
                    <w:rPr>
                      <w:rFonts w:hint="default"/>
                      <w:sz w:val="18"/>
                      <w:szCs w:val="18"/>
                      <w:lang w:eastAsia="zh-CN"/>
                    </w:rPr>
                  </w:pPr>
                  <w:r>
                    <w:rPr>
                      <w:rFonts w:hint="default"/>
                      <w:sz w:val="18"/>
                      <w:szCs w:val="18"/>
                      <w:lang w:eastAsia="zh-CN"/>
                    </w:rPr>
                    <w:t>固</w:t>
                  </w:r>
                </w:p>
              </w:tc>
              <w:tc>
                <w:tcPr>
                  <w:tcW w:w="558"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纸板</w:t>
                  </w:r>
                </w:p>
              </w:tc>
              <w:tc>
                <w:tcPr>
                  <w:tcW w:w="392" w:type="pct"/>
                  <w:tcBorders>
                    <w:tl2br w:val="nil"/>
                    <w:tr2bl w:val="nil"/>
                  </w:tcBorders>
                  <w:noWrap w:val="0"/>
                  <w:vAlign w:val="center"/>
                </w:tcPr>
                <w:p>
                  <w:pPr>
                    <w:adjustRightInd w:val="0"/>
                    <w:snapToGrid w:val="0"/>
                    <w:jc w:val="center"/>
                    <w:rPr>
                      <w:rFonts w:hint="default"/>
                      <w:sz w:val="18"/>
                      <w:szCs w:val="18"/>
                      <w:lang w:val="en-US" w:eastAsia="zh-CN"/>
                    </w:rPr>
                  </w:pPr>
                  <w:r>
                    <w:rPr>
                      <w:rFonts w:hint="eastAsia"/>
                      <w:sz w:val="18"/>
                      <w:szCs w:val="18"/>
                      <w:lang w:val="en-US" w:eastAsia="zh-CN"/>
                    </w:rPr>
                    <w:t>/</w:t>
                  </w:r>
                </w:p>
              </w:tc>
              <w:tc>
                <w:tcPr>
                  <w:tcW w:w="314" w:type="pct"/>
                  <w:tcBorders>
                    <w:tl2br w:val="nil"/>
                    <w:tr2bl w:val="nil"/>
                  </w:tcBorders>
                  <w:noWrap w:val="0"/>
                  <w:vAlign w:val="center"/>
                </w:tcPr>
                <w:p>
                  <w:pPr>
                    <w:adjustRightInd w:val="0"/>
                    <w:snapToGrid w:val="0"/>
                    <w:jc w:val="center"/>
                    <w:rPr>
                      <w:rFonts w:hint="eastAsia" w:eastAsia="宋体"/>
                      <w:sz w:val="18"/>
                      <w:szCs w:val="18"/>
                      <w:lang w:val="en-US" w:eastAsia="zh-CN"/>
                    </w:rPr>
                  </w:pPr>
                  <w:r>
                    <w:rPr>
                      <w:rFonts w:hint="eastAsia"/>
                      <w:sz w:val="18"/>
                      <w:szCs w:val="18"/>
                      <w:lang w:val="en-US" w:eastAsia="zh-CN"/>
                    </w:rPr>
                    <w:t>/</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eastAsia"/>
                      <w:sz w:val="18"/>
                      <w:szCs w:val="18"/>
                      <w:lang w:val="en-US" w:eastAsia="zh-CN"/>
                    </w:rPr>
                    <w:t>袋装</w:t>
                  </w:r>
                </w:p>
              </w:tc>
              <w:tc>
                <w:tcPr>
                  <w:tcW w:w="570" w:type="pct"/>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r>
                    <w:rPr>
                      <w:rFonts w:hint="eastAsia"/>
                      <w:sz w:val="18"/>
                      <w:szCs w:val="18"/>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ascii="Times New Roman" w:hAnsi="Times New Roman" w:cs="Times New Roman"/>
                      <w:sz w:val="18"/>
                      <w:szCs w:val="18"/>
                      <w:lang w:val="en-US" w:eastAsia="zh-CN"/>
                    </w:rPr>
                    <w:t>4</w:t>
                  </w:r>
                </w:p>
              </w:tc>
              <w:tc>
                <w:tcPr>
                  <w:tcW w:w="494"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废油</w:t>
                  </w:r>
                  <w:r>
                    <w:rPr>
                      <w:rFonts w:hint="eastAsia" w:ascii="Times New Roman" w:hAnsi="Times New Roman" w:cs="Times New Roman"/>
                      <w:sz w:val="18"/>
                      <w:szCs w:val="18"/>
                      <w:lang w:val="en-US" w:eastAsia="zh-CN"/>
                    </w:rPr>
                    <w:t>桶</w:t>
                  </w:r>
                </w:p>
              </w:tc>
              <w:tc>
                <w:tcPr>
                  <w:tcW w:w="32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lang w:eastAsia="zh-CN"/>
                    </w:rPr>
                  </w:pPr>
                </w:p>
              </w:tc>
              <w:tc>
                <w:tcPr>
                  <w:tcW w:w="403" w:type="pct"/>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rPr>
                    <w:t>HW08</w:t>
                  </w:r>
                </w:p>
              </w:tc>
              <w:tc>
                <w:tcPr>
                  <w:tcW w:w="457" w:type="pct"/>
                  <w:tcBorders>
                    <w:tl2br w:val="nil"/>
                    <w:tr2bl w:val="nil"/>
                  </w:tcBorders>
                  <w:noWrap w:val="0"/>
                  <w:vAlign w:val="center"/>
                </w:tcPr>
                <w:p>
                  <w:pPr>
                    <w:adjustRightInd w:val="0"/>
                    <w:snapToGrid w:val="0"/>
                    <w:jc w:val="center"/>
                    <w:rPr>
                      <w:rFonts w:hint="default"/>
                      <w:sz w:val="18"/>
                      <w:szCs w:val="18"/>
                    </w:rPr>
                  </w:pPr>
                  <w:r>
                    <w:rPr>
                      <w:rFonts w:hint="default"/>
                      <w:sz w:val="18"/>
                      <w:szCs w:val="18"/>
                    </w:rPr>
                    <w:t>900-2</w:t>
                  </w:r>
                  <w:r>
                    <w:rPr>
                      <w:rFonts w:hint="eastAsia"/>
                      <w:sz w:val="18"/>
                      <w:szCs w:val="18"/>
                      <w:lang w:val="en-US" w:eastAsia="zh-CN"/>
                    </w:rPr>
                    <w:t>49</w:t>
                  </w:r>
                  <w:r>
                    <w:rPr>
                      <w:rFonts w:hint="default"/>
                      <w:sz w:val="18"/>
                      <w:szCs w:val="18"/>
                    </w:rPr>
                    <w:t>-08</w:t>
                  </w:r>
                </w:p>
              </w:tc>
              <w:tc>
                <w:tcPr>
                  <w:tcW w:w="352" w:type="pct"/>
                  <w:tcBorders>
                    <w:tl2br w:val="nil"/>
                    <w:tr2bl w:val="nil"/>
                  </w:tcBorders>
                  <w:noWrap w:val="0"/>
                  <w:vAlign w:val="center"/>
                </w:tcPr>
                <w:p>
                  <w:pPr>
                    <w:adjustRightInd w:val="0"/>
                    <w:snapToGrid w:val="0"/>
                    <w:jc w:val="center"/>
                    <w:rPr>
                      <w:rFonts w:hint="default"/>
                      <w:sz w:val="18"/>
                      <w:szCs w:val="18"/>
                      <w:highlight w:val="yellow"/>
                      <w:lang w:val="en-US" w:eastAsia="zh-CN"/>
                    </w:rPr>
                  </w:pPr>
                  <w:r>
                    <w:rPr>
                      <w:rFonts w:hint="eastAsia" w:cs="Times New Roman"/>
                      <w:color w:val="auto"/>
                      <w:sz w:val="18"/>
                      <w:szCs w:val="18"/>
                      <w:lang w:val="en-US" w:eastAsia="zh-CN"/>
                    </w:rPr>
                    <w:t>0.04</w:t>
                  </w:r>
                </w:p>
              </w:tc>
              <w:tc>
                <w:tcPr>
                  <w:tcW w:w="351"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cs="Times New Roman"/>
                      <w:sz w:val="18"/>
                      <w:szCs w:val="18"/>
                      <w:lang w:val="en-US" w:eastAsia="zh-CN"/>
                    </w:rPr>
                    <w:t>注塑</w:t>
                  </w:r>
                </w:p>
              </w:tc>
              <w:tc>
                <w:tcPr>
                  <w:tcW w:w="247"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cs="Times New Roman"/>
                      <w:sz w:val="18"/>
                      <w:szCs w:val="18"/>
                    </w:rPr>
                    <w:t>液</w:t>
                  </w:r>
                </w:p>
              </w:tc>
              <w:tc>
                <w:tcPr>
                  <w:tcW w:w="558" w:type="pct"/>
                  <w:tcBorders>
                    <w:tl2br w:val="nil"/>
                    <w:tr2bl w:val="nil"/>
                  </w:tcBorders>
                  <w:noWrap w:val="0"/>
                  <w:vAlign w:val="center"/>
                </w:tcPr>
                <w:p>
                  <w:pPr>
                    <w:tabs>
                      <w:tab w:val="left" w:pos="993"/>
                      <w:tab w:val="left" w:pos="1276"/>
                    </w:tabs>
                    <w:adjustRightInd w:val="0"/>
                    <w:snapToGrid w:val="0"/>
                    <w:jc w:val="center"/>
                    <w:rPr>
                      <w:rFonts w:hint="default"/>
                      <w:sz w:val="18"/>
                      <w:szCs w:val="18"/>
                      <w:lang w:eastAsia="zh-CN"/>
                    </w:rPr>
                  </w:pPr>
                  <w:r>
                    <w:rPr>
                      <w:rFonts w:hint="default" w:ascii="Times New Roman" w:hAnsi="Times New Roman" w:cs="Times New Roman"/>
                      <w:sz w:val="18"/>
                      <w:szCs w:val="18"/>
                    </w:rPr>
                    <w:t>矿物油</w:t>
                  </w:r>
                </w:p>
              </w:tc>
              <w:tc>
                <w:tcPr>
                  <w:tcW w:w="392" w:type="pct"/>
                  <w:tcBorders>
                    <w:tl2br w:val="nil"/>
                    <w:tr2bl w:val="nil"/>
                  </w:tcBorders>
                  <w:noWrap w:val="0"/>
                  <w:vAlign w:val="center"/>
                </w:tcPr>
                <w:p>
                  <w:pPr>
                    <w:adjustRightInd w:val="0"/>
                    <w:snapToGrid w:val="0"/>
                    <w:jc w:val="center"/>
                    <w:rPr>
                      <w:rFonts w:hint="default"/>
                      <w:sz w:val="18"/>
                      <w:szCs w:val="18"/>
                      <w:lang w:eastAsia="zh-CN"/>
                    </w:rPr>
                  </w:pPr>
                  <w:r>
                    <w:rPr>
                      <w:rFonts w:hint="default" w:ascii="Times New Roman" w:hAnsi="Times New Roman" w:cs="Times New Roman"/>
                      <w:sz w:val="18"/>
                      <w:szCs w:val="18"/>
                    </w:rPr>
                    <w:t>T，In</w:t>
                  </w:r>
                </w:p>
              </w:tc>
              <w:tc>
                <w:tcPr>
                  <w:tcW w:w="314" w:type="pct"/>
                  <w:tcBorders>
                    <w:tl2br w:val="nil"/>
                    <w:tr2bl w:val="nil"/>
                  </w:tcBorders>
                  <w:noWrap w:val="0"/>
                  <w:vAlign w:val="center"/>
                </w:tcPr>
                <w:p>
                  <w:pPr>
                    <w:adjustRightInd w:val="0"/>
                    <w:snapToGrid w:val="0"/>
                    <w:jc w:val="center"/>
                    <w:rPr>
                      <w:rFonts w:hint="default"/>
                      <w:sz w:val="18"/>
                      <w:szCs w:val="18"/>
                    </w:rPr>
                  </w:pPr>
                  <w:r>
                    <w:rPr>
                      <w:rFonts w:hint="default" w:ascii="Times New Roman" w:hAnsi="Times New Roman" w:cs="Times New Roman"/>
                      <w:sz w:val="18"/>
                      <w:szCs w:val="18"/>
                      <w:lang w:val="en-US" w:eastAsia="zh-CN"/>
                    </w:rPr>
                    <w:t>注塑</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r>
                    <w:rPr>
                      <w:rFonts w:hint="default"/>
                      <w:sz w:val="18"/>
                      <w:szCs w:val="18"/>
                    </w:rPr>
                    <w:t>堆放</w:t>
                  </w:r>
                </w:p>
              </w:tc>
              <w:tc>
                <w:tcPr>
                  <w:tcW w:w="570"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eastAsia"/>
                      <w:sz w:val="18"/>
                      <w:szCs w:val="18"/>
                      <w:lang w:val="en-US" w:eastAsia="zh-CN"/>
                    </w:rPr>
                  </w:pPr>
                  <w:r>
                    <w:rPr>
                      <w:rStyle w:val="33"/>
                      <w:rFonts w:hint="eastAsia" w:cs="Times New Roman"/>
                      <w:smallCaps w:val="0"/>
                      <w:color w:val="auto"/>
                      <w:sz w:val="18"/>
                      <w:szCs w:val="18"/>
                      <w:u w:val="none"/>
                      <w:lang w:val="en-US" w:eastAsia="zh-CN"/>
                    </w:rPr>
                    <w:t>5</w:t>
                  </w:r>
                </w:p>
              </w:tc>
              <w:tc>
                <w:tcPr>
                  <w:tcW w:w="494"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eastAsia="zh-CN"/>
                    </w:rPr>
                    <w:t>废化学品容器</w:t>
                  </w:r>
                </w:p>
              </w:tc>
              <w:tc>
                <w:tcPr>
                  <w:tcW w:w="32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p>
              </w:tc>
              <w:tc>
                <w:tcPr>
                  <w:tcW w:w="40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sz w:val="18"/>
                      <w:szCs w:val="18"/>
                    </w:rPr>
                    <w:t>HW49</w:t>
                  </w:r>
                </w:p>
              </w:tc>
              <w:tc>
                <w:tcPr>
                  <w:tcW w:w="45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sz w:val="18"/>
                      <w:szCs w:val="18"/>
                    </w:rPr>
                    <w:t>900-041-49</w:t>
                  </w:r>
                </w:p>
              </w:tc>
              <w:tc>
                <w:tcPr>
                  <w:tcW w:w="352" w:type="pct"/>
                  <w:tcBorders>
                    <w:tl2br w:val="nil"/>
                    <w:tr2bl w:val="nil"/>
                  </w:tcBorders>
                  <w:noWrap w:val="0"/>
                  <w:vAlign w:val="center"/>
                </w:tcPr>
                <w:p>
                  <w:pPr>
                    <w:adjustRightInd w:val="0"/>
                    <w:snapToGrid w:val="0"/>
                    <w:jc w:val="center"/>
                    <w:rPr>
                      <w:rFonts w:hint="eastAsia"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0.</w:t>
                  </w:r>
                  <w:r>
                    <w:rPr>
                      <w:rFonts w:hint="eastAsia" w:cs="Times New Roman"/>
                      <w:sz w:val="18"/>
                      <w:szCs w:val="18"/>
                      <w:highlight w:val="none"/>
                      <w:lang w:val="en-US" w:eastAsia="zh-CN"/>
                    </w:rPr>
                    <w:t>13</w:t>
                  </w:r>
                </w:p>
              </w:tc>
              <w:tc>
                <w:tcPr>
                  <w:tcW w:w="3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sz w:val="18"/>
                      <w:szCs w:val="18"/>
                      <w:lang w:val="en-US" w:eastAsia="zh-CN"/>
                    </w:rPr>
                    <w:t>注塑</w:t>
                  </w:r>
                </w:p>
              </w:tc>
              <w:tc>
                <w:tcPr>
                  <w:tcW w:w="24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eastAsia" w:cs="Times New Roman"/>
                      <w:sz w:val="18"/>
                      <w:szCs w:val="18"/>
                      <w:lang w:val="en-US" w:eastAsia="zh-CN"/>
                    </w:rPr>
                    <w:t>固</w:t>
                  </w:r>
                </w:p>
              </w:tc>
              <w:tc>
                <w:tcPr>
                  <w:tcW w:w="558" w:type="pct"/>
                  <w:tcBorders>
                    <w:tl2br w:val="nil"/>
                    <w:tr2bl w:val="nil"/>
                  </w:tcBorders>
                  <w:noWrap w:val="0"/>
                  <w:vAlign w:val="center"/>
                </w:tcPr>
                <w:p>
                  <w:pPr>
                    <w:tabs>
                      <w:tab w:val="left" w:pos="993"/>
                      <w:tab w:val="left" w:pos="1276"/>
                    </w:tabs>
                    <w:adjustRightInd w:val="0"/>
                    <w:snapToGrid w:val="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sz w:val="18"/>
                      <w:szCs w:val="18"/>
                    </w:rPr>
                    <w:t>油</w:t>
                  </w:r>
                  <w:r>
                    <w:rPr>
                      <w:rFonts w:hint="eastAsia" w:ascii="Times New Roman" w:hAnsi="Times New Roman" w:cs="Times New Roman"/>
                      <w:sz w:val="18"/>
                      <w:szCs w:val="18"/>
                      <w:lang w:val="en-US" w:eastAsia="zh-CN"/>
                    </w:rPr>
                    <w:t>桶</w:t>
                  </w:r>
                </w:p>
              </w:tc>
              <w:tc>
                <w:tcPr>
                  <w:tcW w:w="3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lang w:val="en-US" w:eastAsia="zh-CN"/>
                    </w:rPr>
                    <w:t>T，I</w:t>
                  </w:r>
                </w:p>
              </w:tc>
              <w:tc>
                <w:tcPr>
                  <w:tcW w:w="314" w:type="pct"/>
                  <w:tcBorders>
                    <w:tl2br w:val="nil"/>
                    <w:tr2bl w:val="nil"/>
                  </w:tcBorders>
                  <w:noWrap w:val="0"/>
                  <w:vAlign w:val="center"/>
                </w:tcPr>
                <w:p>
                  <w:pPr>
                    <w:adjustRightInd w:val="0"/>
                    <w:snapToGrid w:val="0"/>
                    <w:jc w:val="center"/>
                    <w:rPr>
                      <w:rFonts w:hint="eastAsia"/>
                      <w:sz w:val="18"/>
                      <w:szCs w:val="18"/>
                      <w:lang w:val="en-US" w:eastAsia="zh-CN"/>
                    </w:rPr>
                  </w:pPr>
                  <w:r>
                    <w:rPr>
                      <w:rFonts w:hint="default" w:ascii="Times New Roman" w:hAnsi="Times New Roman" w:cs="Times New Roman"/>
                      <w:sz w:val="18"/>
                      <w:szCs w:val="18"/>
                      <w:lang w:val="en-US" w:eastAsia="zh-CN"/>
                    </w:rPr>
                    <w:t>注塑</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r>
                    <w:rPr>
                      <w:rFonts w:hint="default"/>
                      <w:sz w:val="18"/>
                      <w:szCs w:val="18"/>
                    </w:rPr>
                    <w:t>堆放</w:t>
                  </w:r>
                </w:p>
              </w:tc>
              <w:tc>
                <w:tcPr>
                  <w:tcW w:w="570"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eastAsia"/>
                      <w:sz w:val="18"/>
                      <w:szCs w:val="18"/>
                      <w:lang w:val="en-US" w:eastAsia="zh-CN"/>
                    </w:rPr>
                  </w:pPr>
                  <w:r>
                    <w:rPr>
                      <w:rStyle w:val="33"/>
                      <w:rFonts w:hint="eastAsia" w:cs="Times New Roman"/>
                      <w:smallCaps w:val="0"/>
                      <w:color w:val="auto"/>
                      <w:sz w:val="18"/>
                      <w:szCs w:val="18"/>
                      <w:u w:val="none"/>
                      <w:lang w:val="en-US" w:eastAsia="zh-CN"/>
                    </w:rPr>
                    <w:t>6</w:t>
                  </w:r>
                </w:p>
              </w:tc>
              <w:tc>
                <w:tcPr>
                  <w:tcW w:w="494"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auto"/>
                      <w:sz w:val="18"/>
                      <w:szCs w:val="18"/>
                      <w:highlight w:val="none"/>
                    </w:rPr>
                    <w:t>废活性炭</w:t>
                  </w:r>
                </w:p>
              </w:tc>
              <w:tc>
                <w:tcPr>
                  <w:tcW w:w="329"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p>
              </w:tc>
              <w:tc>
                <w:tcPr>
                  <w:tcW w:w="403"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pacing w:val="-8"/>
                      <w:sz w:val="18"/>
                      <w:szCs w:val="18"/>
                      <w:highlight w:val="none"/>
                    </w:rPr>
                    <w:t>HW49</w:t>
                  </w:r>
                </w:p>
              </w:tc>
              <w:tc>
                <w:tcPr>
                  <w:tcW w:w="457"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Cs/>
                      <w:color w:val="auto"/>
                      <w:spacing w:val="-8"/>
                      <w:sz w:val="18"/>
                      <w:szCs w:val="18"/>
                      <w:highlight w:val="none"/>
                    </w:rPr>
                    <w:t>900-0</w:t>
                  </w:r>
                  <w:r>
                    <w:rPr>
                      <w:rFonts w:hint="default" w:ascii="Times New Roman" w:hAnsi="Times New Roman" w:eastAsia="宋体" w:cs="Times New Roman"/>
                      <w:bCs/>
                      <w:color w:val="auto"/>
                      <w:spacing w:val="-8"/>
                      <w:sz w:val="18"/>
                      <w:szCs w:val="18"/>
                      <w:highlight w:val="none"/>
                      <w:lang w:val="en-US" w:eastAsia="zh-CN"/>
                    </w:rPr>
                    <w:t>39</w:t>
                  </w:r>
                  <w:r>
                    <w:rPr>
                      <w:rFonts w:hint="default" w:ascii="Times New Roman" w:hAnsi="Times New Roman" w:eastAsia="宋体" w:cs="Times New Roman"/>
                      <w:bCs/>
                      <w:color w:val="auto"/>
                      <w:spacing w:val="-8"/>
                      <w:sz w:val="18"/>
                      <w:szCs w:val="18"/>
                      <w:highlight w:val="none"/>
                    </w:rPr>
                    <w:t>-49</w:t>
                  </w:r>
                </w:p>
              </w:tc>
              <w:tc>
                <w:tcPr>
                  <w:tcW w:w="352" w:type="pct"/>
                  <w:tcBorders>
                    <w:tl2br w:val="nil"/>
                    <w:tr2bl w:val="nil"/>
                  </w:tcBorders>
                  <w:noWrap w:val="0"/>
                  <w:vAlign w:val="center"/>
                </w:tcPr>
                <w:p>
                  <w:pPr>
                    <w:adjustRightInd w:val="0"/>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12.727</w:t>
                  </w:r>
                </w:p>
              </w:tc>
              <w:tc>
                <w:tcPr>
                  <w:tcW w:w="3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sz w:val="18"/>
                      <w:szCs w:val="18"/>
                      <w:lang w:eastAsia="zh-CN"/>
                    </w:rPr>
                    <w:t>废气处理</w:t>
                  </w:r>
                </w:p>
              </w:tc>
              <w:tc>
                <w:tcPr>
                  <w:tcW w:w="247"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sz w:val="18"/>
                      <w:szCs w:val="18"/>
                      <w:lang w:eastAsia="zh-CN"/>
                    </w:rPr>
                    <w:t>固</w:t>
                  </w:r>
                </w:p>
              </w:tc>
              <w:tc>
                <w:tcPr>
                  <w:tcW w:w="558"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highlight w:val="none"/>
                    </w:rPr>
                  </w:pPr>
                  <w:r>
                    <w:rPr>
                      <w:rFonts w:hint="default"/>
                      <w:sz w:val="18"/>
                      <w:szCs w:val="18"/>
                      <w:lang w:eastAsia="zh-CN"/>
                    </w:rPr>
                    <w:t>活性炭纤维、非甲烷总烃</w:t>
                  </w:r>
                </w:p>
              </w:tc>
              <w:tc>
                <w:tcPr>
                  <w:tcW w:w="39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sz w:val="18"/>
                      <w:szCs w:val="18"/>
                      <w:lang w:eastAsia="zh-CN"/>
                    </w:rPr>
                    <w:t>活性炭纤维、</w:t>
                  </w:r>
                  <w:r>
                    <w:rPr>
                      <w:rFonts w:hint="eastAsia"/>
                      <w:sz w:val="18"/>
                      <w:szCs w:val="18"/>
                      <w:lang w:val="en-US" w:eastAsia="zh-CN"/>
                    </w:rPr>
                    <w:t>有机物</w:t>
                  </w:r>
                </w:p>
              </w:tc>
              <w:tc>
                <w:tcPr>
                  <w:tcW w:w="314" w:type="pct"/>
                  <w:tcBorders>
                    <w:tl2br w:val="nil"/>
                    <w:tr2bl w:val="nil"/>
                  </w:tcBorders>
                  <w:noWrap w:val="0"/>
                  <w:vAlign w:val="center"/>
                </w:tcPr>
                <w:p>
                  <w:pPr>
                    <w:adjustRightInd w:val="0"/>
                    <w:snapToGrid w:val="0"/>
                    <w:jc w:val="center"/>
                    <w:rPr>
                      <w:rFonts w:hint="eastAsia"/>
                      <w:sz w:val="18"/>
                      <w:szCs w:val="18"/>
                      <w:lang w:val="en-US" w:eastAsia="zh-CN"/>
                    </w:rPr>
                  </w:pPr>
                  <w:r>
                    <w:rPr>
                      <w:rFonts w:hint="default"/>
                      <w:sz w:val="18"/>
                      <w:szCs w:val="18"/>
                    </w:rPr>
                    <w:t>T</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r>
                    <w:rPr>
                      <w:rFonts w:hint="default"/>
                      <w:sz w:val="18"/>
                      <w:szCs w:val="18"/>
                    </w:rPr>
                    <w:t>堆放</w:t>
                  </w:r>
                </w:p>
              </w:tc>
              <w:tc>
                <w:tcPr>
                  <w:tcW w:w="570" w:type="pct"/>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6" w:type="pct"/>
                  <w:tcBorders>
                    <w:tl2br w:val="nil"/>
                    <w:tr2bl w:val="nil"/>
                  </w:tcBorders>
                  <w:noWrap w:val="0"/>
                  <w:vAlign w:val="center"/>
                </w:tcPr>
                <w:p>
                  <w:pPr>
                    <w:adjustRightInd w:val="0"/>
                    <w:snapToGrid w:val="0"/>
                    <w:jc w:val="center"/>
                    <w:rPr>
                      <w:rFonts w:hint="eastAsia"/>
                      <w:sz w:val="18"/>
                      <w:szCs w:val="18"/>
                      <w:lang w:val="en-US" w:eastAsia="zh-CN"/>
                    </w:rPr>
                  </w:pPr>
                  <w:r>
                    <w:rPr>
                      <w:rStyle w:val="33"/>
                      <w:rFonts w:hint="eastAsia" w:cs="Times New Roman"/>
                      <w:smallCaps w:val="0"/>
                      <w:color w:val="auto"/>
                      <w:sz w:val="18"/>
                      <w:szCs w:val="18"/>
                      <w:u w:val="none"/>
                      <w:lang w:val="en-US" w:eastAsia="zh-CN"/>
                    </w:rPr>
                    <w:t>7</w:t>
                  </w:r>
                </w:p>
              </w:tc>
              <w:tc>
                <w:tcPr>
                  <w:tcW w:w="494" w:type="pct"/>
                  <w:tcBorders>
                    <w:tl2br w:val="nil"/>
                    <w:tr2bl w:val="nil"/>
                  </w:tcBorders>
                  <w:noWrap w:val="0"/>
                  <w:vAlign w:val="center"/>
                </w:tcPr>
                <w:p>
                  <w:pPr>
                    <w:adjustRightInd w:val="0"/>
                    <w:snapToGrid w:val="0"/>
                    <w:jc w:val="center"/>
                    <w:rPr>
                      <w:rFonts w:hint="default" w:ascii="Times New Roman" w:hAnsi="Times New Roman" w:eastAsia="宋体" w:cs="Times New Roman"/>
                      <w:sz w:val="18"/>
                      <w:szCs w:val="18"/>
                    </w:rPr>
                  </w:pPr>
                  <w:r>
                    <w:rPr>
                      <w:rFonts w:hint="default" w:ascii="Times New Roman" w:hAnsi="Times New Roman" w:cs="Times New Roman"/>
                      <w:sz w:val="18"/>
                      <w:szCs w:val="18"/>
                    </w:rPr>
                    <w:t>生活垃圾</w:t>
                  </w:r>
                </w:p>
              </w:tc>
              <w:tc>
                <w:tcPr>
                  <w:tcW w:w="32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403"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99</w:t>
                  </w:r>
                </w:p>
              </w:tc>
              <w:tc>
                <w:tcPr>
                  <w:tcW w:w="457"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900-999-99</w:t>
                  </w:r>
                </w:p>
              </w:tc>
              <w:tc>
                <w:tcPr>
                  <w:tcW w:w="352" w:type="pct"/>
                  <w:tcBorders>
                    <w:tl2br w:val="nil"/>
                    <w:tr2bl w:val="nil"/>
                  </w:tcBorders>
                  <w:noWrap w:val="0"/>
                  <w:vAlign w:val="center"/>
                </w:tcPr>
                <w:p>
                  <w:pPr>
                    <w:adjustRightInd w:val="0"/>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351"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auto"/>
                      <w:sz w:val="18"/>
                      <w:szCs w:val="18"/>
                      <w:highlight w:val="none"/>
                    </w:rPr>
                    <w:t>生活</w:t>
                  </w:r>
                </w:p>
              </w:tc>
              <w:tc>
                <w:tcPr>
                  <w:tcW w:w="247"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auto"/>
                      <w:sz w:val="18"/>
                      <w:szCs w:val="18"/>
                      <w:highlight w:val="none"/>
                    </w:rPr>
                    <w:t>固</w:t>
                  </w:r>
                </w:p>
              </w:tc>
              <w:tc>
                <w:tcPr>
                  <w:tcW w:w="558" w:type="pct"/>
                  <w:tcBorders>
                    <w:tl2br w:val="nil"/>
                    <w:tr2bl w:val="nil"/>
                  </w:tcBorders>
                  <w:noWrap w:val="0"/>
                  <w:vAlign w:val="center"/>
                </w:tcPr>
                <w:p>
                  <w:pPr>
                    <w:adjustRightInd w:val="0"/>
                    <w:snapToGrid w:val="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auto"/>
                      <w:sz w:val="18"/>
                      <w:szCs w:val="18"/>
                      <w:highlight w:val="none"/>
                    </w:rPr>
                    <w:t>生活垃圾</w:t>
                  </w:r>
                </w:p>
              </w:tc>
              <w:tc>
                <w:tcPr>
                  <w:tcW w:w="392" w:type="pct"/>
                  <w:tcBorders>
                    <w:tl2br w:val="nil"/>
                    <w:tr2bl w:val="nil"/>
                  </w:tcBorders>
                  <w:noWrap w:val="0"/>
                  <w:vAlign w:val="center"/>
                </w:tcPr>
                <w:p>
                  <w:pPr>
                    <w:keepNext w:val="0"/>
                    <w:keepLines w:val="0"/>
                    <w:pageBreakBefore w:val="0"/>
                    <w:widowControl/>
                    <w:kinsoku/>
                    <w:wordWrap/>
                    <w:overflowPunct/>
                    <w:topLinePunct w:val="0"/>
                    <w:bidi w:val="0"/>
                    <w:adjustRightInd/>
                    <w:snapToGrid/>
                    <w:jc w:val="center"/>
                    <w:textAlignment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314"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w:t>
                  </w:r>
                </w:p>
              </w:tc>
              <w:tc>
                <w:tcPr>
                  <w:tcW w:w="339"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auto"/>
                      <w:sz w:val="18"/>
                      <w:szCs w:val="18"/>
                      <w:highlight w:val="none"/>
                      <w:lang w:val="en-US" w:eastAsia="zh-CN"/>
                    </w:rPr>
                    <w:t>桶装</w:t>
                  </w:r>
                </w:p>
              </w:tc>
              <w:tc>
                <w:tcPr>
                  <w:tcW w:w="570" w:type="pc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环卫处置</w:t>
                  </w:r>
                </w:p>
              </w:tc>
            </w:tr>
          </w:tbl>
          <w:p>
            <w:pPr>
              <w:pStyle w:val="29"/>
              <w:keepNext w:val="0"/>
              <w:keepLines w:val="0"/>
              <w:pageBreakBefore w:val="0"/>
              <w:kinsoku/>
              <w:wordWrap/>
              <w:overflowPunct/>
              <w:topLinePunct w:val="0"/>
              <w:autoSpaceDE/>
              <w:autoSpaceDN/>
              <w:bidi w:val="0"/>
              <w:adjustRightInd/>
              <w:snapToGrid/>
              <w:spacing w:before="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危险废物与一般工业固体废物、生活垃圾</w:t>
            </w:r>
            <w:r>
              <w:rPr>
                <w:rFonts w:hint="default" w:ascii="Times New Roman" w:hAnsi="Times New Roman" w:cs="Times New Roman"/>
                <w:sz w:val="21"/>
                <w:szCs w:val="21"/>
                <w:lang w:val="en-US" w:eastAsia="zh-CN"/>
              </w:rPr>
              <w:t>应</w:t>
            </w:r>
            <w:r>
              <w:rPr>
                <w:rFonts w:hint="default" w:ascii="Times New Roman" w:hAnsi="Times New Roman" w:cs="Times New Roman"/>
                <w:sz w:val="21"/>
                <w:szCs w:val="21"/>
              </w:rPr>
              <w:t>分类收集、贮存</w:t>
            </w:r>
            <w:r>
              <w:rPr>
                <w:rFonts w:hint="default" w:ascii="Times New Roman" w:hAnsi="Times New Roman" w:cs="Times New Roman"/>
                <w:sz w:val="21"/>
                <w:szCs w:val="21"/>
                <w:lang w:eastAsia="zh-CN"/>
              </w:rPr>
              <w:t>，</w:t>
            </w:r>
            <w:r>
              <w:rPr>
                <w:rFonts w:hint="default" w:ascii="Times New Roman" w:hAnsi="Times New Roman" w:cs="Times New Roman"/>
                <w:sz w:val="21"/>
                <w:szCs w:val="21"/>
              </w:rPr>
              <w:t>依据固废的种类、产生量及管理的全过程可能造成的环境影响进行针对性的分析如下：</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（1）堆放、贮存场所的环境影响分析。</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a、一般固废</w:t>
            </w:r>
            <w:r>
              <w:rPr>
                <w:rFonts w:hint="eastAsia" w:cs="Times New Roman"/>
                <w:kern w:val="0"/>
                <w:sz w:val="21"/>
                <w:szCs w:val="21"/>
                <w:lang w:val="en-US" w:eastAsia="zh-CN" w:bidi="ar-SA"/>
              </w:rPr>
              <w:t>仓库</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按照《一般工业固体废物贮存、处置场污染控制标准》GB18599-2001要求设计、施工建设：</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①一般固废</w:t>
            </w:r>
            <w:r>
              <w:rPr>
                <w:rFonts w:hint="eastAsia" w:cs="Times New Roman"/>
                <w:kern w:val="0"/>
                <w:sz w:val="21"/>
                <w:szCs w:val="21"/>
                <w:lang w:val="en-US" w:eastAsia="zh-CN" w:bidi="ar-SA"/>
              </w:rPr>
              <w:t>仓库</w:t>
            </w:r>
            <w:r>
              <w:rPr>
                <w:rFonts w:hint="default" w:ascii="Times New Roman" w:hAnsi="Times New Roman" w:eastAsia="宋体" w:cs="Times New Roman"/>
                <w:kern w:val="0"/>
                <w:sz w:val="21"/>
                <w:szCs w:val="21"/>
                <w:lang w:val="en-US" w:eastAsia="zh-CN" w:bidi="ar-SA"/>
              </w:rPr>
              <w:t>需防风、防雨；</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②地面进行硬化。</w:t>
            </w:r>
          </w:p>
          <w:p>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本项目一般固废为</w:t>
            </w:r>
            <w:r>
              <w:rPr>
                <w:rFonts w:hint="eastAsia" w:cs="Times New Roman"/>
                <w:kern w:val="0"/>
                <w:sz w:val="21"/>
                <w:szCs w:val="21"/>
                <w:lang w:val="en-US" w:eastAsia="zh-CN" w:bidi="ar-SA"/>
              </w:rPr>
              <w:t>废塑料</w:t>
            </w:r>
            <w:r>
              <w:rPr>
                <w:rFonts w:hint="default" w:ascii="Times New Roman" w:hAnsi="Times New Roman" w:eastAsia="宋体" w:cs="Times New Roman"/>
                <w:kern w:val="0"/>
                <w:sz w:val="21"/>
                <w:szCs w:val="21"/>
                <w:lang w:val="en-US" w:eastAsia="zh-CN" w:bidi="ar-SA"/>
              </w:rPr>
              <w:t>、废包装材料，其中纸类废包材有发生燃烧的风险，可能引发次生环境事故，燃烧产生的有毒有害气体通过大气扩散影响周围大气环境，造成区域内局部大气环境质量超标，进而对周围环境保护目标造成影响，亦对近距离范围内工业企业内员工造成伤害。</w:t>
            </w:r>
          </w:p>
          <w:p>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b、危废</w:t>
            </w:r>
            <w:r>
              <w:rPr>
                <w:rFonts w:hint="eastAsia" w:cs="Times New Roman"/>
                <w:kern w:val="0"/>
                <w:sz w:val="21"/>
                <w:szCs w:val="21"/>
                <w:lang w:val="en-US" w:eastAsia="zh-CN" w:bidi="ar-SA"/>
              </w:rPr>
              <w:t>仓库</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宋体" w:hAnsi="宋体"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本项目实施后，全厂危废产生量</w:t>
            </w:r>
            <w:r>
              <w:rPr>
                <w:rFonts w:hint="eastAsia" w:cs="Times New Roman"/>
                <w:kern w:val="0"/>
                <w:sz w:val="21"/>
                <w:szCs w:val="21"/>
                <w:lang w:val="en-US" w:eastAsia="zh-CN" w:bidi="ar-SA"/>
              </w:rPr>
              <w:t>约</w:t>
            </w:r>
            <w:r>
              <w:rPr>
                <w:rFonts w:hint="eastAsia" w:cs="Times New Roman"/>
                <w:kern w:val="0"/>
                <w:sz w:val="21"/>
                <w:szCs w:val="21"/>
                <w:highlight w:val="none"/>
                <w:lang w:val="en-US" w:eastAsia="zh-CN" w:bidi="ar-SA"/>
              </w:rPr>
              <w:t>13.897</w:t>
            </w:r>
            <w:r>
              <w:rPr>
                <w:rFonts w:hint="default" w:ascii="Times New Roman" w:hAnsi="Times New Roman" w:eastAsia="宋体" w:cs="Times New Roman"/>
                <w:kern w:val="0"/>
                <w:sz w:val="21"/>
                <w:szCs w:val="21"/>
                <w:lang w:val="en-US" w:eastAsia="zh-CN" w:bidi="ar-SA"/>
              </w:rPr>
              <w:t>吨/年，</w:t>
            </w:r>
            <w:r>
              <w:rPr>
                <w:rFonts w:hint="default" w:ascii="Times New Roman" w:hAnsi="Times New Roman" w:eastAsia="宋体" w:cs="Times New Roman"/>
                <w:color w:val="auto"/>
                <w:kern w:val="0"/>
                <w:sz w:val="21"/>
                <w:szCs w:val="21"/>
                <w:highlight w:val="none"/>
              </w:rPr>
              <w:t>危险固废暂存周期为</w:t>
            </w:r>
            <w:r>
              <w:rPr>
                <w:rFonts w:hint="eastAsia" w:ascii="Times New Roman" w:hAnsi="Times New Roman" w:eastAsia="宋体" w:cs="Times New Roman"/>
                <w:color w:val="auto"/>
                <w:kern w:val="0"/>
                <w:sz w:val="21"/>
                <w:szCs w:val="21"/>
                <w:highlight w:val="none"/>
                <w:lang w:val="en-US" w:eastAsia="zh-CN"/>
              </w:rPr>
              <w:t>6</w:t>
            </w:r>
            <w:r>
              <w:rPr>
                <w:rFonts w:hint="default" w:ascii="Times New Roman" w:hAnsi="Times New Roman" w:eastAsia="宋体" w:cs="Times New Roman"/>
                <w:color w:val="auto"/>
                <w:kern w:val="0"/>
                <w:sz w:val="21"/>
                <w:szCs w:val="21"/>
                <w:highlight w:val="none"/>
                <w:lang w:val="en-US" w:eastAsia="zh-CN"/>
              </w:rPr>
              <w:t>个月</w:t>
            </w:r>
            <w:r>
              <w:rPr>
                <w:rFonts w:hint="default" w:ascii="Times New Roman" w:hAnsi="Times New Roman" w:eastAsia="宋体" w:cs="Times New Roman"/>
                <w:color w:val="auto"/>
                <w:kern w:val="0"/>
                <w:sz w:val="21"/>
                <w:szCs w:val="21"/>
                <w:highlight w:val="none"/>
              </w:rPr>
              <w:t>，即需储存</w:t>
            </w:r>
            <w:r>
              <w:rPr>
                <w:rFonts w:hint="eastAsia" w:ascii="Times New Roman" w:hAnsi="Times New Roman" w:eastAsia="宋体" w:cs="Times New Roman"/>
                <w:color w:val="auto"/>
                <w:kern w:val="0"/>
                <w:sz w:val="21"/>
                <w:szCs w:val="21"/>
                <w:highlight w:val="none"/>
                <w:lang w:val="en-US" w:eastAsia="zh-CN"/>
              </w:rPr>
              <w:t>约6.95</w:t>
            </w:r>
            <w:r>
              <w:rPr>
                <w:rFonts w:hint="default" w:ascii="Times New Roman" w:hAnsi="Times New Roman" w:eastAsia="宋体" w:cs="Times New Roman"/>
                <w:color w:val="auto"/>
                <w:kern w:val="0"/>
                <w:sz w:val="21"/>
                <w:szCs w:val="21"/>
                <w:highlight w:val="none"/>
              </w:rPr>
              <w:t>t/a</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危废</w:t>
            </w:r>
            <w:r>
              <w:rPr>
                <w:rFonts w:hint="default" w:ascii="Times New Roman" w:hAnsi="Times New Roman" w:eastAsia="宋体" w:cs="Times New Roman"/>
                <w:color w:val="auto"/>
                <w:kern w:val="0"/>
                <w:sz w:val="21"/>
                <w:szCs w:val="21"/>
                <w:highlight w:val="none"/>
                <w:lang w:eastAsia="zh-CN"/>
              </w:rPr>
              <w:t>仓库</w:t>
            </w:r>
            <w:r>
              <w:rPr>
                <w:rFonts w:hint="default" w:ascii="Times New Roman" w:hAnsi="Times New Roman" w:eastAsia="宋体" w:cs="Times New Roman"/>
                <w:color w:val="auto"/>
                <w:kern w:val="0"/>
                <w:sz w:val="21"/>
                <w:szCs w:val="21"/>
                <w:highlight w:val="none"/>
              </w:rPr>
              <w:t>可满足企业危废存储要求。</w:t>
            </w:r>
          </w:p>
          <w:p>
            <w:pPr>
              <w:keepNext w:val="0"/>
              <w:keepLines w:val="0"/>
              <w:pageBreakBefore w:val="0"/>
              <w:kinsoku/>
              <w:wordWrap/>
              <w:overflowPunct/>
              <w:topLinePunct w:val="0"/>
              <w:bidi w:val="0"/>
              <w:adjustRightInd/>
              <w:snapToGrid/>
              <w:jc w:val="center"/>
              <w:rPr>
                <w:rFonts w:hint="default"/>
                <w:b/>
                <w:bCs/>
              </w:rPr>
            </w:pPr>
            <w:r>
              <w:rPr>
                <w:rFonts w:hint="default"/>
                <w:b/>
                <w:bCs/>
              </w:rPr>
              <w:t>表</w:t>
            </w:r>
            <w:r>
              <w:rPr>
                <w:rFonts w:hint="eastAsia"/>
                <w:b/>
                <w:bCs/>
                <w:lang w:val="en-US" w:eastAsia="zh-CN"/>
              </w:rPr>
              <w:t>4-22</w:t>
            </w:r>
            <w:r>
              <w:rPr>
                <w:rFonts w:hint="default"/>
                <w:b/>
                <w:bCs/>
              </w:rPr>
              <w:t xml:space="preserve">  危险废物贮存场所（设施）基本情况</w:t>
            </w:r>
          </w:p>
          <w:tbl>
            <w:tblPr>
              <w:tblStyle w:val="16"/>
              <w:tblW w:w="78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1060"/>
              <w:gridCol w:w="917"/>
              <w:gridCol w:w="1248"/>
              <w:gridCol w:w="451"/>
              <w:gridCol w:w="908"/>
              <w:gridCol w:w="1100"/>
              <w:gridCol w:w="625"/>
              <w:gridCol w:w="6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贮存场所名称</w:t>
                  </w:r>
                </w:p>
              </w:tc>
              <w:tc>
                <w:tcPr>
                  <w:tcW w:w="106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危险废物名称</w:t>
                  </w:r>
                </w:p>
              </w:tc>
              <w:tc>
                <w:tcPr>
                  <w:tcW w:w="9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危险废物类别</w:t>
                  </w:r>
                </w:p>
              </w:tc>
              <w:tc>
                <w:tcPr>
                  <w:tcW w:w="12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危险废物代码</w:t>
                  </w:r>
                </w:p>
              </w:tc>
              <w:tc>
                <w:tcPr>
                  <w:tcW w:w="45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位置</w:t>
                  </w:r>
                </w:p>
              </w:tc>
              <w:tc>
                <w:tcPr>
                  <w:tcW w:w="90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占地面积（m</w:t>
                  </w:r>
                  <w:r>
                    <w:rPr>
                      <w:rFonts w:hint="default"/>
                      <w:b/>
                      <w:bCs/>
                      <w:sz w:val="18"/>
                      <w:szCs w:val="18"/>
                      <w:vertAlign w:val="superscript"/>
                    </w:rPr>
                    <w:t>2</w:t>
                  </w:r>
                  <w:r>
                    <w:rPr>
                      <w:rFonts w:hint="default"/>
                      <w:b/>
                      <w:bCs/>
                      <w:sz w:val="18"/>
                      <w:szCs w:val="18"/>
                    </w:rPr>
                    <w:t>）</w:t>
                  </w:r>
                </w:p>
              </w:tc>
              <w:tc>
                <w:tcPr>
                  <w:tcW w:w="11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贮存方式</w:t>
                  </w:r>
                </w:p>
              </w:tc>
              <w:tc>
                <w:tcPr>
                  <w:tcW w:w="62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贮存能力</w:t>
                  </w:r>
                </w:p>
              </w:tc>
              <w:tc>
                <w:tcPr>
                  <w:tcW w:w="6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b/>
                      <w:bCs/>
                      <w:sz w:val="18"/>
                      <w:szCs w:val="18"/>
                    </w:rPr>
                  </w:pPr>
                  <w:r>
                    <w:rPr>
                      <w:rFonts w:hint="default"/>
                      <w:b/>
                      <w:bCs/>
                      <w:sz w:val="18"/>
                      <w:szCs w:val="18"/>
                    </w:rPr>
                    <w:t>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lang w:eastAsia="zh-CN"/>
                    </w:rPr>
                  </w:pPr>
                  <w:r>
                    <w:rPr>
                      <w:rFonts w:hint="default"/>
                      <w:sz w:val="18"/>
                      <w:szCs w:val="18"/>
                      <w:lang w:eastAsia="zh-CN"/>
                    </w:rPr>
                    <w:t>危废暂存场所</w:t>
                  </w:r>
                </w:p>
              </w:tc>
              <w:tc>
                <w:tcPr>
                  <w:tcW w:w="1060"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废</w:t>
                  </w:r>
                  <w:r>
                    <w:rPr>
                      <w:rFonts w:hint="default"/>
                      <w:sz w:val="18"/>
                      <w:szCs w:val="18"/>
                      <w:lang w:eastAsia="zh-CN"/>
                    </w:rPr>
                    <w:t>化学品容器</w:t>
                  </w:r>
                </w:p>
              </w:tc>
              <w:tc>
                <w:tcPr>
                  <w:tcW w:w="917"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HW49</w:t>
                  </w:r>
                </w:p>
              </w:tc>
              <w:tc>
                <w:tcPr>
                  <w:tcW w:w="1248"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900-041-49</w:t>
                  </w:r>
                </w:p>
              </w:tc>
              <w:tc>
                <w:tcPr>
                  <w:tcW w:w="45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lang w:val="en-US"/>
                    </w:rPr>
                  </w:pPr>
                  <w:r>
                    <w:rPr>
                      <w:rFonts w:hint="default"/>
                      <w:sz w:val="18"/>
                      <w:szCs w:val="18"/>
                    </w:rPr>
                    <w:t>1#厂</w:t>
                  </w:r>
                  <w:r>
                    <w:rPr>
                      <w:rFonts w:hint="eastAsia"/>
                      <w:sz w:val="18"/>
                      <w:szCs w:val="18"/>
                      <w:lang w:val="en-US" w:eastAsia="zh-CN"/>
                    </w:rPr>
                    <w:t>区东南角</w:t>
                  </w:r>
                </w:p>
              </w:tc>
              <w:tc>
                <w:tcPr>
                  <w:tcW w:w="90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eastAsia" w:eastAsia="宋体"/>
                      <w:sz w:val="18"/>
                      <w:szCs w:val="18"/>
                      <w:lang w:eastAsia="zh-CN"/>
                    </w:rPr>
                  </w:pPr>
                  <w:r>
                    <w:rPr>
                      <w:rFonts w:hint="default"/>
                      <w:sz w:val="18"/>
                      <w:szCs w:val="18"/>
                      <w:highlight w:val="none"/>
                    </w:rPr>
                    <w:t>1</w:t>
                  </w:r>
                  <w:r>
                    <w:rPr>
                      <w:rFonts w:hint="eastAsia"/>
                      <w:sz w:val="18"/>
                      <w:szCs w:val="18"/>
                      <w:highlight w:val="none"/>
                      <w:lang w:val="en-US" w:eastAsia="zh-CN"/>
                    </w:rPr>
                    <w:t>2</w:t>
                  </w:r>
                </w:p>
              </w:tc>
              <w:tc>
                <w:tcPr>
                  <w:tcW w:w="11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default"/>
                      <w:sz w:val="18"/>
                      <w:szCs w:val="18"/>
                    </w:rPr>
                    <w:t>堆放</w:t>
                  </w:r>
                </w:p>
              </w:tc>
              <w:tc>
                <w:tcPr>
                  <w:tcW w:w="6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eastAsia"/>
                      <w:sz w:val="18"/>
                      <w:szCs w:val="18"/>
                      <w:highlight w:val="none"/>
                      <w:lang w:val="en-US" w:eastAsia="zh-CN"/>
                    </w:rPr>
                    <w:t>10</w:t>
                  </w:r>
                  <w:r>
                    <w:rPr>
                      <w:rFonts w:hint="default"/>
                      <w:sz w:val="18"/>
                      <w:szCs w:val="18"/>
                      <w:highlight w:val="none"/>
                    </w:rPr>
                    <w:t>t</w:t>
                  </w:r>
                </w:p>
              </w:tc>
              <w:tc>
                <w:tcPr>
                  <w:tcW w:w="69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lang w:val="en-US" w:eastAsia="zh-CN"/>
                    </w:rPr>
                  </w:pPr>
                  <w:r>
                    <w:rPr>
                      <w:rFonts w:hint="eastAsia"/>
                      <w:sz w:val="18"/>
                      <w:szCs w:val="18"/>
                      <w:lang w:val="en-US" w:eastAsia="zh-CN"/>
                    </w:rPr>
                    <w:t>6个月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1060"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废</w:t>
                  </w:r>
                  <w:r>
                    <w:rPr>
                      <w:rFonts w:hint="default"/>
                      <w:sz w:val="18"/>
                      <w:szCs w:val="18"/>
                      <w:lang w:eastAsia="zh-CN"/>
                    </w:rPr>
                    <w:t>液压</w:t>
                  </w:r>
                  <w:r>
                    <w:rPr>
                      <w:rFonts w:hint="default"/>
                      <w:sz w:val="18"/>
                      <w:szCs w:val="18"/>
                    </w:rPr>
                    <w:t>油</w:t>
                  </w:r>
                </w:p>
              </w:tc>
              <w:tc>
                <w:tcPr>
                  <w:tcW w:w="917"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HW08</w:t>
                  </w:r>
                </w:p>
              </w:tc>
              <w:tc>
                <w:tcPr>
                  <w:tcW w:w="1248"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900-2</w:t>
                  </w:r>
                  <w:r>
                    <w:rPr>
                      <w:rFonts w:hint="default"/>
                      <w:sz w:val="18"/>
                      <w:szCs w:val="18"/>
                      <w:lang w:val="en-US" w:eastAsia="zh-CN"/>
                    </w:rPr>
                    <w:t>18</w:t>
                  </w:r>
                  <w:r>
                    <w:rPr>
                      <w:rFonts w:hint="default"/>
                      <w:sz w:val="18"/>
                      <w:szCs w:val="18"/>
                    </w:rPr>
                    <w:t>-08</w:t>
                  </w:r>
                </w:p>
              </w:tc>
              <w:tc>
                <w:tcPr>
                  <w:tcW w:w="4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9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11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default"/>
                      <w:sz w:val="18"/>
                      <w:szCs w:val="18"/>
                    </w:rPr>
                    <w:t>密闭桶装</w:t>
                  </w:r>
                </w:p>
              </w:tc>
              <w:tc>
                <w:tcPr>
                  <w:tcW w:w="6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69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1060" w:type="dxa"/>
                  <w:tcBorders>
                    <w:tl2br w:val="nil"/>
                    <w:tr2bl w:val="nil"/>
                  </w:tcBorders>
                  <w:noWrap w:val="0"/>
                  <w:vAlign w:val="center"/>
                </w:tcPr>
                <w:p>
                  <w:pPr>
                    <w:adjustRightInd w:val="0"/>
                    <w:snapToGrid w:val="0"/>
                    <w:jc w:val="center"/>
                    <w:rPr>
                      <w:rFonts w:hint="default"/>
                      <w:sz w:val="18"/>
                      <w:szCs w:val="18"/>
                    </w:rPr>
                  </w:pPr>
                  <w:r>
                    <w:rPr>
                      <w:rFonts w:hint="default" w:ascii="Times New Roman" w:hAnsi="Times New Roman" w:eastAsia="宋体" w:cs="Times New Roman"/>
                      <w:sz w:val="18"/>
                      <w:szCs w:val="18"/>
                      <w:lang w:eastAsia="zh-CN"/>
                    </w:rPr>
                    <w:t>废油</w:t>
                  </w:r>
                  <w:r>
                    <w:rPr>
                      <w:rFonts w:hint="eastAsia" w:ascii="Times New Roman" w:hAnsi="Times New Roman" w:cs="Times New Roman"/>
                      <w:sz w:val="18"/>
                      <w:szCs w:val="18"/>
                      <w:lang w:val="en-US" w:eastAsia="zh-CN"/>
                    </w:rPr>
                    <w:t>桶</w:t>
                  </w:r>
                </w:p>
              </w:tc>
              <w:tc>
                <w:tcPr>
                  <w:tcW w:w="917"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HW08</w:t>
                  </w:r>
                </w:p>
              </w:tc>
              <w:tc>
                <w:tcPr>
                  <w:tcW w:w="1248" w:type="dxa"/>
                  <w:tcBorders>
                    <w:tl2br w:val="nil"/>
                    <w:tr2bl w:val="nil"/>
                  </w:tcBorders>
                  <w:noWrap w:val="0"/>
                  <w:vAlign w:val="center"/>
                </w:tcPr>
                <w:p>
                  <w:pPr>
                    <w:adjustRightInd w:val="0"/>
                    <w:snapToGrid w:val="0"/>
                    <w:jc w:val="center"/>
                    <w:rPr>
                      <w:rFonts w:hint="default"/>
                      <w:sz w:val="18"/>
                      <w:szCs w:val="18"/>
                    </w:rPr>
                  </w:pPr>
                  <w:r>
                    <w:rPr>
                      <w:rFonts w:hint="default"/>
                      <w:sz w:val="18"/>
                      <w:szCs w:val="18"/>
                    </w:rPr>
                    <w:t>900-2</w:t>
                  </w:r>
                  <w:r>
                    <w:rPr>
                      <w:rFonts w:hint="eastAsia"/>
                      <w:sz w:val="18"/>
                      <w:szCs w:val="18"/>
                      <w:lang w:val="en-US" w:eastAsia="zh-CN"/>
                    </w:rPr>
                    <w:t>49</w:t>
                  </w:r>
                  <w:r>
                    <w:rPr>
                      <w:rFonts w:hint="default"/>
                      <w:sz w:val="18"/>
                      <w:szCs w:val="18"/>
                    </w:rPr>
                    <w:t>-08</w:t>
                  </w:r>
                </w:p>
              </w:tc>
              <w:tc>
                <w:tcPr>
                  <w:tcW w:w="4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9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11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default"/>
                      <w:sz w:val="18"/>
                      <w:szCs w:val="18"/>
                    </w:rPr>
                    <w:t>堆放</w:t>
                  </w:r>
                </w:p>
              </w:tc>
              <w:tc>
                <w:tcPr>
                  <w:tcW w:w="6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69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1060" w:type="dxa"/>
                  <w:tcBorders>
                    <w:tl2br w:val="nil"/>
                    <w:tr2bl w:val="nil"/>
                  </w:tcBorders>
                  <w:noWrap w:val="0"/>
                  <w:vAlign w:val="center"/>
                </w:tcPr>
                <w:p>
                  <w:pPr>
                    <w:adjustRightInd w:val="0"/>
                    <w:snapToGrid w:val="0"/>
                    <w:jc w:val="center"/>
                    <w:rPr>
                      <w:rFonts w:hint="eastAsia"/>
                      <w:sz w:val="18"/>
                      <w:szCs w:val="18"/>
                      <w:lang w:val="en-US" w:eastAsia="zh-CN"/>
                    </w:rPr>
                  </w:pPr>
                  <w:r>
                    <w:rPr>
                      <w:rFonts w:hint="default"/>
                      <w:sz w:val="18"/>
                      <w:szCs w:val="18"/>
                      <w:lang w:eastAsia="zh-CN"/>
                    </w:rPr>
                    <w:t>废活性炭</w:t>
                  </w:r>
                </w:p>
              </w:tc>
              <w:tc>
                <w:tcPr>
                  <w:tcW w:w="917" w:type="dxa"/>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lang w:val="en-US" w:eastAsia="zh-CN"/>
                    </w:rPr>
                    <w:t>HW49</w:t>
                  </w:r>
                </w:p>
              </w:tc>
              <w:tc>
                <w:tcPr>
                  <w:tcW w:w="1248" w:type="dxa"/>
                  <w:tcBorders>
                    <w:tl2br w:val="nil"/>
                    <w:tr2bl w:val="nil"/>
                  </w:tcBorders>
                  <w:noWrap w:val="0"/>
                  <w:vAlign w:val="center"/>
                </w:tcPr>
                <w:p>
                  <w:pPr>
                    <w:adjustRightInd w:val="0"/>
                    <w:snapToGrid w:val="0"/>
                    <w:jc w:val="center"/>
                    <w:rPr>
                      <w:rFonts w:hint="default"/>
                      <w:sz w:val="18"/>
                      <w:szCs w:val="18"/>
                      <w:lang w:val="en-US" w:eastAsia="zh-CN"/>
                    </w:rPr>
                  </w:pPr>
                  <w:r>
                    <w:rPr>
                      <w:rFonts w:hint="default"/>
                      <w:sz w:val="18"/>
                      <w:szCs w:val="18"/>
                    </w:rPr>
                    <w:t>900-0</w:t>
                  </w:r>
                  <w:r>
                    <w:rPr>
                      <w:rFonts w:hint="eastAsia"/>
                      <w:sz w:val="18"/>
                      <w:szCs w:val="18"/>
                      <w:lang w:val="en-US" w:eastAsia="zh-CN"/>
                    </w:rPr>
                    <w:t>39</w:t>
                  </w:r>
                  <w:r>
                    <w:rPr>
                      <w:rFonts w:hint="default"/>
                      <w:sz w:val="18"/>
                      <w:szCs w:val="18"/>
                    </w:rPr>
                    <w:t>-49</w:t>
                  </w:r>
                </w:p>
              </w:tc>
              <w:tc>
                <w:tcPr>
                  <w:tcW w:w="4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90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11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r>
                    <w:rPr>
                      <w:rFonts w:hint="default"/>
                      <w:sz w:val="18"/>
                      <w:szCs w:val="18"/>
                    </w:rPr>
                    <w:t>堆放</w:t>
                  </w:r>
                </w:p>
              </w:tc>
              <w:tc>
                <w:tcPr>
                  <w:tcW w:w="6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c>
                <w:tcPr>
                  <w:tcW w:w="69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right="0"/>
                    <w:jc w:val="center"/>
                    <w:textAlignment w:val="auto"/>
                    <w:rPr>
                      <w:rFonts w:hint="default"/>
                      <w:sz w:val="18"/>
                      <w:szCs w:val="18"/>
                    </w:rPr>
                  </w:pPr>
                </w:p>
              </w:tc>
            </w:tr>
          </w:tbl>
          <w:p>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both"/>
              <w:textAlignment w:val="auto"/>
              <w:rPr>
                <w:rFonts w:hint="default"/>
              </w:rPr>
            </w:pPr>
            <w:r>
              <w:rPr>
                <w:rFonts w:hint="eastAsia"/>
                <w:lang w:val="en-US" w:eastAsia="zh-CN"/>
              </w:rPr>
              <w:t>全厂产生的</w:t>
            </w:r>
            <w:r>
              <w:rPr>
                <w:rFonts w:hint="default"/>
              </w:rPr>
              <w:t>危险废物为</w:t>
            </w:r>
            <w:r>
              <w:rPr>
                <w:rFonts w:hint="default"/>
                <w:lang w:eastAsia="zh-CN"/>
              </w:rPr>
              <w:t>废液压油、废油</w:t>
            </w:r>
            <w:r>
              <w:rPr>
                <w:rFonts w:hint="eastAsia"/>
                <w:lang w:val="en-US" w:eastAsia="zh-CN"/>
              </w:rPr>
              <w:t>桶</w:t>
            </w:r>
            <w:r>
              <w:rPr>
                <w:rFonts w:hint="default"/>
                <w:lang w:eastAsia="zh-CN"/>
              </w:rPr>
              <w:t>、废化学品容器、</w:t>
            </w:r>
            <w:r>
              <w:rPr>
                <w:rFonts w:hint="default"/>
              </w:rPr>
              <w:t>废活性炭</w:t>
            </w:r>
            <w:r>
              <w:rPr>
                <w:rFonts w:hint="default"/>
                <w:lang w:val="en-US" w:eastAsia="zh-CN"/>
              </w:rPr>
              <w:t>，</w:t>
            </w:r>
            <w:r>
              <w:rPr>
                <w:rFonts w:hint="default"/>
              </w:rPr>
              <w:t>均不涉及易燃易爆固体废物。</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rPr>
            </w:pPr>
            <w:r>
              <w:rPr>
                <w:rFonts w:hint="default"/>
                <w:lang w:eastAsia="zh-CN"/>
              </w:rPr>
              <w:t>危废</w:t>
            </w:r>
            <w:r>
              <w:rPr>
                <w:rFonts w:hint="eastAsia"/>
                <w:lang w:val="en-US" w:eastAsia="zh-CN"/>
              </w:rPr>
              <w:t>仓库</w:t>
            </w:r>
            <w:r>
              <w:rPr>
                <w:rFonts w:hint="default"/>
              </w:rPr>
              <w:t>应严格按照《危险废物贮存污染控制标准》（GB18597-2001）及修改单的要求规范建设和维护使用，具体有以下内容：</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eastAsia"/>
                <w:lang w:eastAsia="zh-CN"/>
              </w:rPr>
            </w:pPr>
            <w:r>
              <w:rPr>
                <w:rFonts w:hint="default"/>
              </w:rPr>
              <w:t>①基础必须防渗，防渗层为至少1m厚</w:t>
            </w:r>
            <w:r>
              <w:rPr>
                <w:rFonts w:hint="eastAsia"/>
                <w:lang w:val="en-US" w:eastAsia="zh-CN"/>
              </w:rPr>
              <w:t>黏</w:t>
            </w:r>
            <w:r>
              <w:rPr>
                <w:rFonts w:hint="default"/>
              </w:rPr>
              <w:t>土层（渗透系数≤10</w:t>
            </w:r>
            <w:r>
              <w:rPr>
                <w:rFonts w:hint="default"/>
                <w:vertAlign w:val="superscript"/>
              </w:rPr>
              <w:t>-7</w:t>
            </w:r>
            <w:r>
              <w:rPr>
                <w:rFonts w:hint="default"/>
              </w:rPr>
              <w:t>cm/s），或2mm厚高密度聚乙烯，或至少2mm厚的其他人工材料，渗透系数≤10</w:t>
            </w:r>
            <w:r>
              <w:rPr>
                <w:rFonts w:hint="default"/>
                <w:vertAlign w:val="superscript"/>
              </w:rPr>
              <w:t>-10</w:t>
            </w:r>
            <w:r>
              <w:rPr>
                <w:rFonts w:hint="default"/>
              </w:rPr>
              <w:t>cm/s。</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eastAsia"/>
                <w:lang w:eastAsia="zh-CN"/>
              </w:rPr>
            </w:pPr>
            <w:r>
              <w:rPr>
                <w:rFonts w:hint="default"/>
              </w:rPr>
              <w:t>②危废</w:t>
            </w:r>
            <w:r>
              <w:rPr>
                <w:rFonts w:hint="eastAsia"/>
                <w:lang w:val="en-US" w:eastAsia="zh-CN"/>
              </w:rPr>
              <w:t>仓库</w:t>
            </w:r>
            <w:r>
              <w:rPr>
                <w:rFonts w:hint="default"/>
              </w:rPr>
              <w:t>设排风扇。</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eastAsia"/>
                <w:lang w:eastAsia="zh-CN"/>
              </w:rPr>
            </w:pPr>
            <w:r>
              <w:rPr>
                <w:rFonts w:hint="default"/>
              </w:rPr>
              <w:fldChar w:fldCharType="begin"/>
            </w:r>
            <w:r>
              <w:rPr>
                <w:rFonts w:hint="default"/>
              </w:rPr>
              <w:instrText xml:space="preserve"> = 3 \* GB3 \* MERGEFORMAT </w:instrText>
            </w:r>
            <w:r>
              <w:rPr>
                <w:rFonts w:hint="default"/>
              </w:rPr>
              <w:fldChar w:fldCharType="separate"/>
            </w:r>
            <w:r>
              <w:rPr>
                <w:rFonts w:hint="default"/>
              </w:rPr>
              <w:t>③</w:t>
            </w:r>
            <w:r>
              <w:rPr>
                <w:rFonts w:hint="default"/>
              </w:rPr>
              <w:fldChar w:fldCharType="end"/>
            </w:r>
            <w:r>
              <w:rPr>
                <w:rFonts w:hint="default"/>
              </w:rPr>
              <w:t>必须将危险废物装入容器内，装载危废的容器必须完好无损，承装危废的容器材质和衬里要与危废相容；</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eastAsia"/>
                <w:lang w:eastAsia="zh-CN"/>
              </w:rPr>
            </w:pPr>
            <w:r>
              <w:rPr>
                <w:rFonts w:hint="default"/>
              </w:rPr>
              <w:fldChar w:fldCharType="begin"/>
            </w:r>
            <w:r>
              <w:rPr>
                <w:rFonts w:hint="default"/>
              </w:rPr>
              <w:instrText xml:space="preserve"> = 4 \* GB3 \* MERGEFORMAT </w:instrText>
            </w:r>
            <w:r>
              <w:rPr>
                <w:rFonts w:hint="default"/>
              </w:rPr>
              <w:fldChar w:fldCharType="separate"/>
            </w:r>
            <w:r>
              <w:rPr>
                <w:rFonts w:hint="default"/>
              </w:rPr>
              <w:t>④</w:t>
            </w:r>
            <w:r>
              <w:rPr>
                <w:rFonts w:hint="default"/>
              </w:rPr>
              <w:fldChar w:fldCharType="end"/>
            </w:r>
            <w:r>
              <w:rPr>
                <w:rFonts w:hint="default"/>
              </w:rPr>
              <w:t>禁止将不相容（相互反应）的危险废物在同一容器内混装；</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eastAsia"/>
                <w:lang w:eastAsia="zh-CN"/>
              </w:rPr>
            </w:pPr>
            <w:r>
              <w:rPr>
                <w:rFonts w:hint="default"/>
              </w:rPr>
              <w:fldChar w:fldCharType="begin"/>
            </w:r>
            <w:r>
              <w:rPr>
                <w:rFonts w:hint="default"/>
              </w:rPr>
              <w:instrText xml:space="preserve"> = 5 \* GB3 \* MERGEFORMAT </w:instrText>
            </w:r>
            <w:r>
              <w:rPr>
                <w:rFonts w:hint="default"/>
              </w:rPr>
              <w:fldChar w:fldCharType="separate"/>
            </w:r>
            <w:r>
              <w:rPr>
                <w:rFonts w:hint="default"/>
              </w:rPr>
              <w:t>⑤</w:t>
            </w:r>
            <w:r>
              <w:rPr>
                <w:rFonts w:hint="default"/>
              </w:rPr>
              <w:fldChar w:fldCharType="end"/>
            </w:r>
            <w:r>
              <w:rPr>
                <w:rFonts w:hint="default"/>
              </w:rPr>
              <w:t>装载液体、半固体危废的容器内须留足够空间，容器顶部与液体表面之间保留100mm以上的空间；</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rPr>
            </w:pPr>
            <w:r>
              <w:rPr>
                <w:rFonts w:hint="default"/>
              </w:rPr>
              <w:fldChar w:fldCharType="begin"/>
            </w:r>
            <w:r>
              <w:rPr>
                <w:rFonts w:hint="default"/>
              </w:rPr>
              <w:instrText xml:space="preserve"> = 6 \* GB3 \* MERGEFORMAT </w:instrText>
            </w:r>
            <w:r>
              <w:rPr>
                <w:rFonts w:hint="default"/>
              </w:rPr>
              <w:fldChar w:fldCharType="separate"/>
            </w:r>
            <w:r>
              <w:rPr>
                <w:rFonts w:hint="default"/>
              </w:rPr>
              <w:t>⑥</w:t>
            </w:r>
            <w:r>
              <w:rPr>
                <w:rFonts w:hint="default"/>
              </w:rPr>
              <w:fldChar w:fldCharType="end"/>
            </w:r>
            <w:r>
              <w:rPr>
                <w:rFonts w:hint="default"/>
              </w:rPr>
              <w:t>承装危废的容器上必须粘贴符合标准附录A所示的标签；</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rPr>
            </w:pPr>
            <w:r>
              <w:rPr>
                <w:rFonts w:hint="default"/>
              </w:rPr>
              <w:fldChar w:fldCharType="begin"/>
            </w:r>
            <w:r>
              <w:rPr>
                <w:rFonts w:hint="default"/>
              </w:rPr>
              <w:instrText xml:space="preserve"> = 7 \* GB3 \* MERGEFORMAT </w:instrText>
            </w:r>
            <w:r>
              <w:rPr>
                <w:rFonts w:hint="default"/>
              </w:rPr>
              <w:fldChar w:fldCharType="separate"/>
            </w:r>
            <w:r>
              <w:rPr>
                <w:rFonts w:hint="default"/>
              </w:rPr>
              <w:t>⑦</w:t>
            </w:r>
            <w:r>
              <w:rPr>
                <w:rFonts w:hint="default"/>
              </w:rPr>
              <w:fldChar w:fldCharType="end"/>
            </w:r>
            <w:r>
              <w:rPr>
                <w:rFonts w:hint="default"/>
              </w:rPr>
              <w:t>危废</w:t>
            </w:r>
            <w:r>
              <w:rPr>
                <w:rFonts w:hint="eastAsia"/>
                <w:lang w:val="en-US" w:eastAsia="zh-CN"/>
              </w:rPr>
              <w:t>仓库</w:t>
            </w:r>
            <w:r>
              <w:rPr>
                <w:rFonts w:hint="default"/>
              </w:rPr>
              <w:t>要防风、防雨、防晒。</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w:t>
            </w:r>
            <w:r>
              <w:rPr>
                <w:rFonts w:hint="default"/>
                <w:sz w:val="21"/>
                <w:szCs w:val="21"/>
                <w:lang w:val="en-US" w:eastAsia="zh-CN"/>
              </w:rPr>
              <w:t>2</w:t>
            </w:r>
            <w:r>
              <w:rPr>
                <w:rFonts w:hint="default"/>
                <w:sz w:val="21"/>
                <w:szCs w:val="21"/>
              </w:rPr>
              <w:t>）综合利用、处理、处置的环境影响分析</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①一般工业固废综合利用、处理、处置的环境影响分析</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本项目一般工业</w:t>
            </w:r>
            <w:r>
              <w:rPr>
                <w:rFonts w:hint="default"/>
                <w:sz w:val="21"/>
                <w:szCs w:val="21"/>
                <w:lang w:val="en-US" w:eastAsia="zh-CN"/>
              </w:rPr>
              <w:t>固废</w:t>
            </w:r>
            <w:r>
              <w:rPr>
                <w:rFonts w:hint="default"/>
                <w:sz w:val="21"/>
                <w:szCs w:val="21"/>
              </w:rPr>
              <w:t>集中外售，符合固体废物资源化原则，其利用处置方式可行。</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②危险废物处理、处置的环境影响分析</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sz w:val="21"/>
                <w:szCs w:val="21"/>
              </w:rPr>
              <w:t>危险废</w:t>
            </w:r>
            <w:r>
              <w:rPr>
                <w:rFonts w:hint="default" w:ascii="Times New Roman" w:hAnsi="Times New Roman" w:cs="Times New Roman"/>
                <w:sz w:val="21"/>
                <w:szCs w:val="21"/>
              </w:rPr>
              <w:t>物运输单位必须具有危险废物的运输能力</w:t>
            </w:r>
            <w:r>
              <w:rPr>
                <w:rFonts w:hint="default" w:ascii="Times New Roman" w:hAnsi="Times New Roman" w:cs="Times New Roman"/>
                <w:sz w:val="21"/>
                <w:szCs w:val="21"/>
                <w:lang w:eastAsia="zh-CN"/>
              </w:rPr>
              <w:t>，</w:t>
            </w:r>
            <w:r>
              <w:rPr>
                <w:rFonts w:hint="default" w:ascii="Times New Roman" w:hAnsi="Times New Roman" w:cs="Times New Roman"/>
                <w:sz w:val="21"/>
                <w:szCs w:val="21"/>
              </w:rPr>
              <w:t>按照《危险废物收集贮存运输技术规范》（HJ2025-2012）相关</w:t>
            </w:r>
            <w:r>
              <w:rPr>
                <w:rFonts w:hint="default"/>
                <w:sz w:val="21"/>
                <w:szCs w:val="21"/>
              </w:rPr>
              <w:t>规定执行。运输单位采取有效措施，杜绝运输途中事故的</w:t>
            </w:r>
            <w:r>
              <w:rPr>
                <w:rFonts w:hint="default" w:ascii="Times New Roman" w:hAnsi="Times New Roman" w:cs="Times New Roman"/>
                <w:sz w:val="21"/>
                <w:szCs w:val="21"/>
              </w:rPr>
              <w:t>发生；固体废物全部处置、处理或者综合利用，并按固废管理要求办理相应的转运手续。危废处置单位须拥有危废经营许可证，符合国家、江苏省关于危险废物污染防治技术政策与相关规定及管理要求。严格采取以上危险废物处理处置措施后，危险废物得到有效的处置，对环境影响较小，其处理可行。</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加强环境管理</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危废</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应严格</w:t>
            </w:r>
            <w:r>
              <w:rPr>
                <w:rFonts w:hint="default" w:ascii="Times New Roman" w:hAnsi="Times New Roman" w:cs="Times New Roman"/>
                <w:sz w:val="21"/>
                <w:szCs w:val="21"/>
                <w:lang w:val="en-US" w:eastAsia="zh-CN"/>
              </w:rPr>
              <w:t>按照</w:t>
            </w:r>
            <w:r>
              <w:rPr>
                <w:rFonts w:hint="default" w:ascii="Times New Roman" w:hAnsi="Times New Roman" w:cs="Times New Roman"/>
                <w:sz w:val="21"/>
                <w:szCs w:val="21"/>
              </w:rPr>
              <w:t>《省生态环境厅关于印发江苏省危险废物贮存规范化管理专项整治行动方案的通知》（苏环办〔2019〕149号）</w:t>
            </w:r>
            <w:r>
              <w:rPr>
                <w:rFonts w:hint="default" w:ascii="Times New Roman" w:hAnsi="Times New Roman" w:cs="Times New Roman"/>
                <w:sz w:val="21"/>
                <w:szCs w:val="21"/>
                <w:lang w:eastAsia="zh-CN"/>
              </w:rPr>
              <w:t>、</w:t>
            </w:r>
            <w:r>
              <w:rPr>
                <w:rFonts w:hint="default" w:ascii="Times New Roman" w:hAnsi="Times New Roman" w:cs="Times New Roman"/>
                <w:sz w:val="21"/>
                <w:szCs w:val="21"/>
              </w:rPr>
              <w:t>《关于印发&lt;苏州市危险废物贮存规范化管理专项整治工作方案&gt;的通知》（苏环办字〔2019〕82号）、《关于进一步加强危险废物污染防治工作的实施意见》（苏环办字〔2019〕222号）</w:t>
            </w:r>
            <w:r>
              <w:rPr>
                <w:rFonts w:hint="eastAsia" w:ascii="Times New Roman" w:hAnsi="Times New Roman" w:cs="Times New Roman"/>
                <w:sz w:val="21"/>
                <w:szCs w:val="21"/>
                <w:lang w:eastAsia="zh-CN"/>
              </w:rPr>
              <w:t>、</w:t>
            </w:r>
            <w:r>
              <w:rPr>
                <w:rFonts w:hint="eastAsia" w:ascii="Times New Roman" w:hAnsi="Times New Roman" w:eastAsia="宋体"/>
                <w:color w:val="auto"/>
                <w:sz w:val="21"/>
              </w:rPr>
              <w:t>《省生态环境厅关于进一步加强危险废物污染防治工作的实施意见》（苏环办</w:t>
            </w:r>
            <w:r>
              <w:rPr>
                <w:rFonts w:ascii="Times New Roman" w:hAnsi="Times New Roman" w:eastAsia="宋体"/>
                <w:color w:val="auto"/>
                <w:sz w:val="21"/>
              </w:rPr>
              <w:t>[2019]327</w:t>
            </w:r>
            <w:r>
              <w:rPr>
                <w:rFonts w:hint="eastAsia" w:ascii="Times New Roman" w:hAnsi="Times New Roman" w:eastAsia="宋体"/>
                <w:color w:val="auto"/>
                <w:sz w:val="21"/>
              </w:rPr>
              <w:t>号）</w:t>
            </w:r>
            <w:r>
              <w:rPr>
                <w:rFonts w:hint="default" w:ascii="Times New Roman" w:hAnsi="Times New Roman" w:cs="Times New Roman"/>
                <w:sz w:val="21"/>
                <w:szCs w:val="21"/>
                <w:lang w:val="en-US" w:eastAsia="zh-CN"/>
              </w:rPr>
              <w:t>等相关</w:t>
            </w:r>
            <w:r>
              <w:rPr>
                <w:rFonts w:hint="default" w:ascii="Times New Roman" w:hAnsi="Times New Roman" w:cs="Times New Roman"/>
                <w:sz w:val="21"/>
                <w:szCs w:val="21"/>
              </w:rPr>
              <w:t>要求规范建设和维护使用，按照《环境保护图形标志固体废物贮存（处置）场》（GB 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①危废</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必须派专人管理，其他人未经允许不得进入内。</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②危险废物</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不得存放除危险废物以外的其他废弃物。</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③当危险废物存放到一定数量（1吨以上），管理人员应及时通知安全环保部办理相关手续送往有资质单位处理。</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④危废应在危废</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规定允许存放的时间存入，送入危险废物</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时应做好统一包装（液体桶装），防止渗漏，并分别贴好标识，注明危险废物名称。</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⑤产生的危险废物每次送入危废</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必须进行称重，危险废物</w:t>
            </w:r>
            <w:r>
              <w:rPr>
                <w:rFonts w:hint="eastAsia" w:ascii="Times New Roman" w:hAnsi="Times New Roman" w:cs="Times New Roman"/>
                <w:sz w:val="21"/>
                <w:szCs w:val="21"/>
                <w:lang w:val="en-US" w:eastAsia="zh-CN"/>
              </w:rPr>
              <w:t>仓库</w:t>
            </w:r>
            <w:r>
              <w:rPr>
                <w:rFonts w:hint="default" w:ascii="Times New Roman" w:hAnsi="Times New Roman" w:cs="Times New Roman"/>
                <w:sz w:val="21"/>
                <w:szCs w:val="21"/>
              </w:rPr>
              <w:t>管理人员经核定无误后方可入库登记同时双方签字确认。</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⑥需凭借交接单入库，没有交接单不得入库，环保主管部门需定期查看。</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⑦设置防雨、防火、防雷、防扬散、防渗漏装置及泄漏液体收集装置。</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⑧危险废物贮存设施内清理出来的泄漏物，一律按危险废物处理。</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rPr>
              <w:t>⑨危险废物贮存期限不超过一年，需延长期限的应报环保主管部门批准。</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sz w:val="21"/>
                <w:szCs w:val="21"/>
              </w:rPr>
            </w:pPr>
            <w:r>
              <w:rPr>
                <w:rFonts w:hint="default"/>
                <w:sz w:val="21"/>
                <w:szCs w:val="21"/>
                <w:lang w:val="en-US" w:eastAsia="zh-CN"/>
              </w:rPr>
              <w:fldChar w:fldCharType="begin"/>
            </w:r>
            <w:r>
              <w:rPr>
                <w:rFonts w:hint="default"/>
                <w:sz w:val="21"/>
                <w:szCs w:val="21"/>
                <w:lang w:val="en-US" w:eastAsia="zh-CN"/>
              </w:rPr>
              <w:instrText xml:space="preserve"> = 10 \* GB3 \* MERGEFORMAT </w:instrText>
            </w:r>
            <w:r>
              <w:rPr>
                <w:rFonts w:hint="default"/>
                <w:sz w:val="21"/>
                <w:szCs w:val="21"/>
                <w:lang w:val="en-US" w:eastAsia="zh-CN"/>
              </w:rPr>
              <w:fldChar w:fldCharType="separate"/>
            </w:r>
            <w:r>
              <w:rPr>
                <w:rFonts w:hint="default"/>
                <w:sz w:val="21"/>
                <w:szCs w:val="21"/>
              </w:rPr>
              <w:t>⑩</w:t>
            </w:r>
            <w:r>
              <w:rPr>
                <w:rFonts w:hint="default"/>
                <w:sz w:val="21"/>
                <w:szCs w:val="21"/>
                <w:lang w:val="en-US" w:eastAsia="zh-CN"/>
              </w:rPr>
              <w:fldChar w:fldCharType="end"/>
            </w:r>
            <w:r>
              <w:rPr>
                <w:rFonts w:hint="default"/>
                <w:sz w:val="21"/>
                <w:szCs w:val="21"/>
              </w:rPr>
              <w:t>制定固体废物特别是危险废物暂存、转移中的污染防范及事故应急措施。</w:t>
            </w:r>
          </w:p>
          <w:p>
            <w:pPr>
              <w:pStyle w:val="15"/>
              <w:rPr>
                <w:rFonts w:hint="default"/>
              </w:rPr>
            </w:pPr>
            <w:r>
              <w:rPr>
                <w:rFonts w:hint="default"/>
                <w:sz w:val="21"/>
                <w:szCs w:val="21"/>
              </w:rPr>
              <w:t>综上分析，本项目不产生二次污染，建设项目各种固废可得到有效处置，对</w:t>
            </w:r>
            <w:r>
              <w:rPr>
                <w:rFonts w:hint="default"/>
                <w:sz w:val="21"/>
                <w:szCs w:val="21"/>
                <w:lang w:val="en-US" w:eastAsia="zh-CN"/>
              </w:rPr>
              <w:t>周围</w:t>
            </w:r>
            <w:r>
              <w:rPr>
                <w:rFonts w:hint="default"/>
                <w:sz w:val="21"/>
                <w:szCs w:val="21"/>
              </w:rPr>
              <w:t>环境空气、地表水、地下水、土壤以及环境</w:t>
            </w:r>
            <w:r>
              <w:rPr>
                <w:rFonts w:hint="default"/>
                <w:sz w:val="21"/>
                <w:szCs w:val="21"/>
                <w:lang w:val="en-US" w:eastAsia="zh-CN"/>
              </w:rPr>
              <w:t>保护</w:t>
            </w:r>
            <w:r>
              <w:rPr>
                <w:rFonts w:hint="default"/>
                <w:sz w:val="21"/>
                <w:szCs w:val="21"/>
              </w:rPr>
              <w:t>目标影响较小。</w:t>
            </w:r>
          </w:p>
          <w:p>
            <w:pPr>
              <w:keepNext w:val="0"/>
              <w:keepLines w:val="0"/>
              <w:pageBreakBefore w:val="0"/>
              <w:numPr>
                <w:ilvl w:val="0"/>
                <w:numId w:val="0"/>
              </w:numPr>
              <w:kinsoku/>
              <w:wordWrap/>
              <w:overflowPunct/>
              <w:topLinePunct w:val="0"/>
              <w:autoSpaceDE/>
              <w:autoSpaceDN/>
              <w:bidi w:val="0"/>
              <w:adjustRightInd/>
              <w:snapToGrid/>
              <w:spacing w:line="360" w:lineRule="auto"/>
              <w:ind w:left="420" w:leftChars="0" w:right="0" w:rightChars="0"/>
              <w:jc w:val="both"/>
              <w:textAlignment w:val="auto"/>
              <w:rPr>
                <w:rFonts w:hint="default" w:ascii="Times New Roman" w:hAnsi="Times New Roman" w:eastAsia="宋体" w:cs="Times New Roman"/>
                <w:b/>
                <w:bCs w:val="0"/>
                <w:spacing w:val="-10"/>
                <w:sz w:val="21"/>
                <w:szCs w:val="21"/>
                <w:highlight w:val="none"/>
                <w:lang w:val="en-US" w:eastAsia="zh-CN"/>
              </w:rPr>
            </w:pPr>
            <w:r>
              <w:rPr>
                <w:rFonts w:hint="eastAsia" w:cs="Times New Roman"/>
                <w:b/>
                <w:bCs w:val="0"/>
                <w:spacing w:val="-10"/>
                <w:sz w:val="21"/>
                <w:szCs w:val="21"/>
                <w:highlight w:val="none"/>
                <w:lang w:val="en-US" w:eastAsia="zh-CN"/>
              </w:rPr>
              <w:t>6、</w:t>
            </w:r>
            <w:r>
              <w:rPr>
                <w:rFonts w:hint="default" w:ascii="Times New Roman" w:hAnsi="Times New Roman" w:eastAsia="宋体" w:cs="Times New Roman"/>
                <w:b/>
                <w:bCs w:val="0"/>
                <w:spacing w:val="-10"/>
                <w:sz w:val="21"/>
                <w:szCs w:val="21"/>
                <w:highlight w:val="none"/>
                <w:lang w:val="en-US" w:eastAsia="zh-CN"/>
              </w:rPr>
              <w:t>土壤、地下水</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项目土壤、地下水主要污染源有以下方面：</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（1）化学品等原辅料储存：化学品等泄漏可能通过垂直入渗、地面漫流对土壤及地下水</w:t>
            </w:r>
            <w:r>
              <w:rPr>
                <w:rFonts w:hint="default" w:ascii="Times New Roman" w:hAnsi="Times New Roman" w:eastAsia="宋体" w:cs="Times New Roman"/>
                <w:color w:val="auto"/>
                <w:sz w:val="21"/>
                <w:szCs w:val="21"/>
                <w:highlight w:val="none"/>
              </w:rPr>
              <w:t>产生影响</w:t>
            </w:r>
            <w:r>
              <w:rPr>
                <w:rFonts w:hint="eastAsia" w:ascii="Times New Roman" w:hAnsi="Times New Roman" w:eastAsia="宋体" w:cs="Times New Roman"/>
                <w:color w:val="auto"/>
                <w:sz w:val="21"/>
                <w:szCs w:val="21"/>
                <w:highlight w:val="none"/>
                <w:lang w:val="en-US" w:eastAsia="zh-CN"/>
              </w:rPr>
              <w:t>；</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废气排放</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可能</w:t>
            </w:r>
            <w:r>
              <w:rPr>
                <w:rFonts w:hint="default" w:ascii="Times New Roman" w:hAnsi="Times New Roman" w:eastAsia="宋体" w:cs="Times New Roman"/>
                <w:color w:val="auto"/>
                <w:sz w:val="21"/>
                <w:szCs w:val="21"/>
                <w:highlight w:val="none"/>
              </w:rPr>
              <w:t>通过大气沉降对土壤</w:t>
            </w:r>
            <w:r>
              <w:rPr>
                <w:rFonts w:hint="eastAsia" w:ascii="Times New Roman" w:hAnsi="Times New Roman" w:eastAsia="宋体" w:cs="Times New Roman"/>
                <w:color w:val="auto"/>
                <w:sz w:val="21"/>
                <w:szCs w:val="21"/>
                <w:highlight w:val="none"/>
                <w:lang w:val="en-US" w:eastAsia="zh-CN"/>
              </w:rPr>
              <w:t>及地下水</w:t>
            </w:r>
            <w:r>
              <w:rPr>
                <w:rFonts w:hint="default" w:ascii="Times New Roman" w:hAnsi="Times New Roman" w:eastAsia="宋体" w:cs="Times New Roman"/>
                <w:color w:val="auto"/>
                <w:sz w:val="21"/>
                <w:szCs w:val="21"/>
                <w:highlight w:val="none"/>
              </w:rPr>
              <w:t>环境产生影响。</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废水排放：生活污水</w:t>
            </w:r>
            <w:r>
              <w:rPr>
                <w:rFonts w:hint="eastAsia" w:ascii="Times New Roman" w:hAnsi="Times New Roman" w:cs="Times New Roman"/>
                <w:color w:val="auto"/>
                <w:sz w:val="21"/>
                <w:szCs w:val="21"/>
                <w:highlight w:val="none"/>
                <w:lang w:val="en-US" w:eastAsia="zh-CN"/>
              </w:rPr>
              <w:t>和循环冷却水</w:t>
            </w:r>
            <w:r>
              <w:rPr>
                <w:rFonts w:hint="default" w:ascii="Times New Roman" w:hAnsi="Times New Roman" w:eastAsia="宋体" w:cs="Times New Roman"/>
                <w:color w:val="auto"/>
                <w:sz w:val="21"/>
                <w:szCs w:val="21"/>
                <w:highlight w:val="none"/>
              </w:rPr>
              <w:t>水质简单，经市政管网排入园区污水处理厂，对土壤</w:t>
            </w:r>
            <w:r>
              <w:rPr>
                <w:rFonts w:hint="eastAsia" w:ascii="Times New Roman" w:hAnsi="Times New Roman" w:eastAsia="宋体" w:cs="Times New Roman"/>
                <w:color w:val="auto"/>
                <w:sz w:val="21"/>
                <w:szCs w:val="21"/>
                <w:highlight w:val="none"/>
                <w:lang w:val="en-US" w:eastAsia="zh-CN"/>
              </w:rPr>
              <w:t>及地下水</w:t>
            </w:r>
            <w:r>
              <w:rPr>
                <w:rFonts w:hint="default" w:ascii="Times New Roman" w:hAnsi="Times New Roman" w:eastAsia="宋体" w:cs="Times New Roman"/>
                <w:color w:val="auto"/>
                <w:sz w:val="21"/>
                <w:szCs w:val="21"/>
                <w:highlight w:val="none"/>
              </w:rPr>
              <w:t>的影响概率较小。</w:t>
            </w:r>
          </w:p>
          <w:p>
            <w:pPr>
              <w:pStyle w:val="29"/>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固废暂存：一般固废、危废及生活垃圾泄漏可能通过垂直入渗、地面漫流对土壤及地下水</w:t>
            </w:r>
            <w:r>
              <w:rPr>
                <w:rFonts w:hint="default" w:ascii="Times New Roman" w:hAnsi="Times New Roman" w:eastAsia="宋体" w:cs="Times New Roman"/>
                <w:color w:val="auto"/>
                <w:sz w:val="21"/>
                <w:szCs w:val="21"/>
                <w:highlight w:val="none"/>
              </w:rPr>
              <w:t>产生影响。</w:t>
            </w:r>
          </w:p>
          <w:p>
            <w:pPr>
              <w:pStyle w:val="36"/>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lang w:val="zh-CN"/>
              </w:rPr>
            </w:pPr>
            <w:r>
              <w:rPr>
                <w:lang w:val="zh-CN"/>
              </w:rPr>
              <w:t>表</w:t>
            </w:r>
            <w:r>
              <w:rPr>
                <w:rFonts w:hint="eastAsia"/>
                <w:lang w:val="en-US" w:eastAsia="zh-CN"/>
              </w:rPr>
              <w:t>4</w:t>
            </w:r>
            <w:r>
              <w:rPr>
                <w:lang w:val="zh-CN"/>
              </w:rPr>
              <w:t>-</w:t>
            </w:r>
            <w:r>
              <w:rPr>
                <w:rFonts w:hint="eastAsia"/>
                <w:lang w:val="en-US" w:eastAsia="zh-CN"/>
              </w:rPr>
              <w:t>23</w:t>
            </w:r>
            <w:r>
              <w:rPr>
                <w:lang w:val="zh-CN"/>
              </w:rPr>
              <w:t xml:space="preserve">  地下水污染防渗分区参照表</w:t>
            </w:r>
          </w:p>
          <w:tbl>
            <w:tblPr>
              <w:tblStyle w:val="1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1"/>
              <w:gridCol w:w="1282"/>
              <w:gridCol w:w="1283"/>
              <w:gridCol w:w="1488"/>
              <w:gridCol w:w="24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9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防渗区域</w:t>
                  </w: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天然包气带</w:t>
                  </w:r>
                </w:p>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防污性能</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污染控制</w:t>
                  </w:r>
                </w:p>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难易程度</w:t>
                  </w:r>
                </w:p>
              </w:tc>
              <w:tc>
                <w:tcPr>
                  <w:tcW w:w="964"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污染物类型</w:t>
                  </w:r>
                </w:p>
              </w:tc>
              <w:tc>
                <w:tcPr>
                  <w:tcW w:w="1579"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污染防渗</w:t>
                  </w:r>
                </w:p>
                <w:p>
                  <w:pPr>
                    <w:pStyle w:val="37"/>
                    <w:keepNext w:val="0"/>
                    <w:keepLines w:val="0"/>
                    <w:pageBreakBefore w:val="0"/>
                    <w:widowControl/>
                    <w:kinsoku/>
                    <w:wordWrap/>
                    <w:overflowPunct/>
                    <w:topLinePunct w:val="0"/>
                    <w:autoSpaceDE/>
                    <w:autoSpaceDN/>
                    <w:bidi w:val="0"/>
                    <w:adjustRightInd/>
                    <w:snapToGrid/>
                    <w:spacing w:line="240" w:lineRule="auto"/>
                    <w:textAlignment w:val="auto"/>
                    <w:rPr>
                      <w:b/>
                      <w:sz w:val="18"/>
                      <w:szCs w:val="18"/>
                    </w:rPr>
                  </w:pPr>
                  <w:r>
                    <w:rPr>
                      <w:b/>
                      <w:sz w:val="18"/>
                      <w:szCs w:val="18"/>
                    </w:rPr>
                    <w:t>技术要求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重点防渗区</w:t>
                  </w: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弱</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难</w:t>
                  </w:r>
                </w:p>
              </w:tc>
              <w:tc>
                <w:tcPr>
                  <w:tcW w:w="964"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highlight w:val="yellow"/>
                    </w:rPr>
                  </w:pPr>
                  <w:r>
                    <w:rPr>
                      <w:sz w:val="18"/>
                      <w:szCs w:val="18"/>
                      <w:highlight w:val="none"/>
                    </w:rPr>
                    <w:t>重金属、持久性有机污染物</w:t>
                  </w:r>
                </w:p>
              </w:tc>
              <w:tc>
                <w:tcPr>
                  <w:tcW w:w="1579"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等效粘土防渗层Mb≥6.0m，K≤1×10</w:t>
                  </w:r>
                  <w:r>
                    <w:rPr>
                      <w:sz w:val="18"/>
                      <w:szCs w:val="18"/>
                      <w:vertAlign w:val="superscript"/>
                    </w:rPr>
                    <w:t>-7</w:t>
                  </w:r>
                  <w:r>
                    <w:rPr>
                      <w:sz w:val="18"/>
                      <w:szCs w:val="18"/>
                    </w:rPr>
                    <w:t>cm/s，或参考GB18598执行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792"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中—强</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难</w:t>
                  </w:r>
                </w:p>
              </w:tc>
              <w:tc>
                <w:tcPr>
                  <w:tcW w:w="964"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highlight w:val="yellow"/>
                    </w:rPr>
                  </w:pPr>
                </w:p>
              </w:tc>
              <w:tc>
                <w:tcPr>
                  <w:tcW w:w="1579"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弱</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易</w:t>
                  </w:r>
                </w:p>
              </w:tc>
              <w:tc>
                <w:tcPr>
                  <w:tcW w:w="964"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highlight w:val="yellow"/>
                    </w:rPr>
                  </w:pPr>
                </w:p>
              </w:tc>
              <w:tc>
                <w:tcPr>
                  <w:tcW w:w="1579"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一般防渗区</w:t>
                  </w: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弱</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易—难</w:t>
                  </w:r>
                </w:p>
              </w:tc>
              <w:tc>
                <w:tcPr>
                  <w:tcW w:w="964"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highlight w:val="yellow"/>
                    </w:rPr>
                  </w:pPr>
                  <w:r>
                    <w:rPr>
                      <w:sz w:val="18"/>
                      <w:szCs w:val="18"/>
                      <w:highlight w:val="none"/>
                    </w:rPr>
                    <w:t>其他类型</w:t>
                  </w:r>
                </w:p>
              </w:tc>
              <w:tc>
                <w:tcPr>
                  <w:tcW w:w="1579"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等效粘土防渗层Mb≥1.5m，K≤1×10</w:t>
                  </w:r>
                  <w:r>
                    <w:rPr>
                      <w:sz w:val="18"/>
                      <w:szCs w:val="18"/>
                      <w:vertAlign w:val="superscript"/>
                    </w:rPr>
                    <w:t>-7</w:t>
                  </w:r>
                  <w:r>
                    <w:rPr>
                      <w:sz w:val="18"/>
                      <w:szCs w:val="18"/>
                    </w:rPr>
                    <w:t>cm/s，或参考GB16889执行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中—强</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难</w:t>
                  </w:r>
                </w:p>
              </w:tc>
              <w:tc>
                <w:tcPr>
                  <w:tcW w:w="964"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1579"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中</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易</w:t>
                  </w:r>
                </w:p>
              </w:tc>
              <w:tc>
                <w:tcPr>
                  <w:tcW w:w="964" w:type="pct"/>
                  <w:vMerge w:val="restar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重金属、持久性有机污染物</w:t>
                  </w:r>
                </w:p>
              </w:tc>
              <w:tc>
                <w:tcPr>
                  <w:tcW w:w="1579"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强</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易</w:t>
                  </w:r>
                </w:p>
              </w:tc>
              <w:tc>
                <w:tcPr>
                  <w:tcW w:w="964"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c>
                <w:tcPr>
                  <w:tcW w:w="1579" w:type="pct"/>
                  <w:vMerge w:val="continue"/>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简单防渗区</w:t>
                  </w:r>
                </w:p>
              </w:tc>
              <w:tc>
                <w:tcPr>
                  <w:tcW w:w="831"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中—强</w:t>
                  </w:r>
                </w:p>
              </w:tc>
              <w:tc>
                <w:tcPr>
                  <w:tcW w:w="832"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易</w:t>
                  </w:r>
                </w:p>
              </w:tc>
              <w:tc>
                <w:tcPr>
                  <w:tcW w:w="964"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其他类型</w:t>
                  </w:r>
                </w:p>
              </w:tc>
              <w:tc>
                <w:tcPr>
                  <w:tcW w:w="1579" w:type="pct"/>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line="240" w:lineRule="auto"/>
                    <w:textAlignment w:val="auto"/>
                    <w:rPr>
                      <w:sz w:val="18"/>
                      <w:szCs w:val="18"/>
                    </w:rPr>
                  </w:pPr>
                  <w:r>
                    <w:rPr>
                      <w:sz w:val="18"/>
                      <w:szCs w:val="18"/>
                    </w:rPr>
                    <w:t>地面硬化</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b/>
                <w:szCs w:val="21"/>
                <w:highlight w:val="none"/>
              </w:rPr>
            </w:pPr>
            <w:bookmarkStart w:id="2" w:name="_Hlk532589549"/>
            <w:bookmarkStart w:id="3" w:name="_Hlk532566904"/>
            <w:r>
              <w:rPr>
                <w:rFonts w:hAnsi="宋体"/>
                <w:b/>
                <w:szCs w:val="21"/>
                <w:highlight w:val="none"/>
              </w:rPr>
              <w:t>表</w:t>
            </w:r>
            <w:r>
              <w:rPr>
                <w:rFonts w:hint="eastAsia"/>
                <w:b/>
                <w:szCs w:val="21"/>
                <w:highlight w:val="none"/>
                <w:lang w:val="en-US" w:eastAsia="zh-CN"/>
              </w:rPr>
              <w:t>4</w:t>
            </w:r>
            <w:r>
              <w:rPr>
                <w:b/>
                <w:szCs w:val="21"/>
                <w:highlight w:val="none"/>
              </w:rPr>
              <w:t>-</w:t>
            </w:r>
            <w:r>
              <w:rPr>
                <w:rFonts w:hint="eastAsia"/>
                <w:b/>
                <w:szCs w:val="21"/>
                <w:highlight w:val="none"/>
                <w:lang w:val="en-US" w:eastAsia="zh-CN"/>
              </w:rPr>
              <w:t>24</w:t>
            </w:r>
            <w:r>
              <w:rPr>
                <w:b/>
                <w:szCs w:val="21"/>
                <w:highlight w:val="none"/>
              </w:rPr>
              <w:t xml:space="preserve">  </w:t>
            </w:r>
            <w:r>
              <w:rPr>
                <w:rFonts w:hAnsi="宋体"/>
                <w:b/>
                <w:szCs w:val="21"/>
                <w:highlight w:val="none"/>
              </w:rPr>
              <w:t>地下水污染防治分区</w:t>
            </w:r>
          </w:p>
          <w:tbl>
            <w:tblPr>
              <w:tblStyle w:val="16"/>
              <w:tblW w:w="494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0"/>
              <w:gridCol w:w="1504"/>
              <w:gridCol w:w="1071"/>
              <w:gridCol w:w="1158"/>
              <w:gridCol w:w="1298"/>
              <w:gridCol w:w="21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14" w:type="pct"/>
                  <w:tcBorders>
                    <w:tl2br w:val="nil"/>
                    <w:tr2bl w:val="nil"/>
                  </w:tcBorders>
                  <w:noWrap w:val="0"/>
                  <w:vAlign w:val="center"/>
                </w:tcPr>
                <w:p>
                  <w:pPr>
                    <w:adjustRightInd w:val="0"/>
                    <w:snapToGrid w:val="0"/>
                    <w:jc w:val="center"/>
                    <w:rPr>
                      <w:b/>
                      <w:bCs/>
                      <w:sz w:val="18"/>
                      <w:szCs w:val="18"/>
                    </w:rPr>
                  </w:pPr>
                  <w:r>
                    <w:rPr>
                      <w:rFonts w:hint="eastAsia"/>
                      <w:b/>
                      <w:bCs/>
                      <w:sz w:val="18"/>
                      <w:szCs w:val="18"/>
                    </w:rPr>
                    <w:t>编号</w:t>
                  </w:r>
                </w:p>
              </w:tc>
              <w:tc>
                <w:tcPr>
                  <w:tcW w:w="984" w:type="pct"/>
                  <w:tcBorders>
                    <w:tl2br w:val="nil"/>
                    <w:tr2bl w:val="nil"/>
                  </w:tcBorders>
                  <w:noWrap w:val="0"/>
                  <w:vAlign w:val="center"/>
                </w:tcPr>
                <w:p>
                  <w:pPr>
                    <w:adjustRightInd w:val="0"/>
                    <w:snapToGrid w:val="0"/>
                    <w:jc w:val="center"/>
                    <w:rPr>
                      <w:b/>
                      <w:bCs/>
                      <w:sz w:val="18"/>
                      <w:szCs w:val="18"/>
                    </w:rPr>
                  </w:pPr>
                  <w:r>
                    <w:rPr>
                      <w:rFonts w:hint="eastAsia"/>
                      <w:b/>
                      <w:bCs/>
                      <w:sz w:val="18"/>
                      <w:szCs w:val="18"/>
                    </w:rPr>
                    <w:t>单元</w:t>
                  </w:r>
                  <w:r>
                    <w:rPr>
                      <w:b/>
                      <w:bCs/>
                      <w:sz w:val="18"/>
                      <w:szCs w:val="18"/>
                    </w:rPr>
                    <w:t>名称</w:t>
                  </w:r>
                </w:p>
              </w:tc>
              <w:tc>
                <w:tcPr>
                  <w:tcW w:w="701" w:type="pct"/>
                  <w:tcBorders>
                    <w:tl2br w:val="nil"/>
                    <w:tr2bl w:val="nil"/>
                  </w:tcBorders>
                  <w:noWrap w:val="0"/>
                  <w:vAlign w:val="center"/>
                </w:tcPr>
                <w:p>
                  <w:pPr>
                    <w:pStyle w:val="37"/>
                    <w:spacing w:line="240" w:lineRule="auto"/>
                    <w:rPr>
                      <w:rFonts w:hint="eastAsia"/>
                      <w:b/>
                      <w:bCs/>
                      <w:sz w:val="18"/>
                      <w:szCs w:val="18"/>
                    </w:rPr>
                  </w:pPr>
                  <w:r>
                    <w:rPr>
                      <w:rFonts w:hint="eastAsia"/>
                      <w:b/>
                      <w:bCs/>
                      <w:sz w:val="18"/>
                      <w:szCs w:val="18"/>
                    </w:rPr>
                    <w:t>污染物</w:t>
                  </w:r>
                </w:p>
                <w:p>
                  <w:pPr>
                    <w:pStyle w:val="37"/>
                    <w:spacing w:line="240" w:lineRule="auto"/>
                    <w:rPr>
                      <w:b/>
                      <w:bCs/>
                      <w:sz w:val="18"/>
                      <w:szCs w:val="18"/>
                    </w:rPr>
                  </w:pPr>
                  <w:r>
                    <w:rPr>
                      <w:rFonts w:hint="eastAsia"/>
                      <w:b/>
                      <w:bCs/>
                      <w:sz w:val="18"/>
                      <w:szCs w:val="18"/>
                    </w:rPr>
                    <w:t>类型</w:t>
                  </w:r>
                </w:p>
              </w:tc>
              <w:tc>
                <w:tcPr>
                  <w:tcW w:w="758" w:type="pct"/>
                  <w:tcBorders>
                    <w:tl2br w:val="nil"/>
                    <w:tr2bl w:val="nil"/>
                  </w:tcBorders>
                  <w:noWrap w:val="0"/>
                  <w:vAlign w:val="center"/>
                </w:tcPr>
                <w:p>
                  <w:pPr>
                    <w:pStyle w:val="37"/>
                    <w:spacing w:line="240" w:lineRule="auto"/>
                    <w:rPr>
                      <w:rFonts w:hint="eastAsia"/>
                      <w:b/>
                      <w:bCs/>
                      <w:sz w:val="18"/>
                      <w:szCs w:val="18"/>
                    </w:rPr>
                  </w:pPr>
                  <w:r>
                    <w:rPr>
                      <w:rFonts w:hint="eastAsia"/>
                      <w:b/>
                      <w:bCs/>
                      <w:sz w:val="18"/>
                      <w:szCs w:val="18"/>
                    </w:rPr>
                    <w:t>污染防治</w:t>
                  </w:r>
                </w:p>
                <w:p>
                  <w:pPr>
                    <w:pStyle w:val="37"/>
                    <w:spacing w:line="240" w:lineRule="auto"/>
                    <w:rPr>
                      <w:b/>
                      <w:bCs/>
                      <w:sz w:val="18"/>
                      <w:szCs w:val="18"/>
                    </w:rPr>
                  </w:pPr>
                  <w:r>
                    <w:rPr>
                      <w:rFonts w:hint="eastAsia"/>
                      <w:b/>
                      <w:bCs/>
                      <w:sz w:val="18"/>
                      <w:szCs w:val="18"/>
                    </w:rPr>
                    <w:t>类别</w:t>
                  </w:r>
                </w:p>
              </w:tc>
              <w:tc>
                <w:tcPr>
                  <w:tcW w:w="849" w:type="pct"/>
                  <w:tcBorders>
                    <w:tl2br w:val="nil"/>
                    <w:tr2bl w:val="nil"/>
                  </w:tcBorders>
                  <w:noWrap w:val="0"/>
                  <w:vAlign w:val="center"/>
                </w:tcPr>
                <w:p>
                  <w:pPr>
                    <w:pStyle w:val="37"/>
                    <w:spacing w:line="240" w:lineRule="auto"/>
                    <w:rPr>
                      <w:rFonts w:hint="eastAsia"/>
                      <w:b/>
                      <w:bCs/>
                      <w:sz w:val="18"/>
                      <w:szCs w:val="18"/>
                    </w:rPr>
                  </w:pPr>
                  <w:r>
                    <w:rPr>
                      <w:rFonts w:hint="eastAsia"/>
                      <w:b/>
                      <w:bCs/>
                      <w:sz w:val="18"/>
                      <w:szCs w:val="18"/>
                    </w:rPr>
                    <w:t>污染防治</w:t>
                  </w:r>
                </w:p>
                <w:p>
                  <w:pPr>
                    <w:pStyle w:val="37"/>
                    <w:spacing w:line="240" w:lineRule="auto"/>
                    <w:rPr>
                      <w:b/>
                      <w:bCs/>
                      <w:sz w:val="18"/>
                      <w:szCs w:val="18"/>
                    </w:rPr>
                  </w:pPr>
                  <w:r>
                    <w:rPr>
                      <w:rFonts w:hint="eastAsia"/>
                      <w:b/>
                      <w:bCs/>
                      <w:sz w:val="18"/>
                      <w:szCs w:val="18"/>
                    </w:rPr>
                    <w:t>区域及部位</w:t>
                  </w:r>
                </w:p>
              </w:tc>
              <w:tc>
                <w:tcPr>
                  <w:tcW w:w="1391" w:type="pct"/>
                  <w:tcBorders>
                    <w:tl2br w:val="nil"/>
                    <w:tr2bl w:val="nil"/>
                  </w:tcBorders>
                  <w:noWrap w:val="0"/>
                  <w:vAlign w:val="center"/>
                </w:tcPr>
                <w:p>
                  <w:pPr>
                    <w:pStyle w:val="37"/>
                    <w:spacing w:line="240" w:lineRule="auto"/>
                    <w:rPr>
                      <w:rFonts w:hint="eastAsia"/>
                      <w:b/>
                      <w:bCs/>
                      <w:sz w:val="18"/>
                      <w:szCs w:val="18"/>
                    </w:rPr>
                  </w:pPr>
                  <w:r>
                    <w:rPr>
                      <w:rFonts w:hint="eastAsia"/>
                      <w:b/>
                      <w:bCs/>
                      <w:color w:val="auto"/>
                      <w:sz w:val="18"/>
                      <w:szCs w:val="18"/>
                      <w:lang w:val="en-US" w:eastAsia="zh-CN"/>
                    </w:rPr>
                    <w:t>污染途径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tcBorders>
                    <w:tl2br w:val="nil"/>
                    <w:tr2bl w:val="nil"/>
                  </w:tcBorders>
                  <w:noWrap w:val="0"/>
                  <w:vAlign w:val="center"/>
                </w:tcPr>
                <w:p>
                  <w:pPr>
                    <w:jc w:val="center"/>
                    <w:rPr>
                      <w:sz w:val="18"/>
                      <w:szCs w:val="18"/>
                    </w:rPr>
                  </w:pPr>
                  <w:r>
                    <w:rPr>
                      <w:color w:val="auto"/>
                      <w:sz w:val="18"/>
                      <w:szCs w:val="18"/>
                    </w:rPr>
                    <w:t>1</w:t>
                  </w:r>
                </w:p>
              </w:tc>
              <w:tc>
                <w:tcPr>
                  <w:tcW w:w="984" w:type="pct"/>
                  <w:tcBorders>
                    <w:tl2br w:val="nil"/>
                    <w:tr2bl w:val="nil"/>
                  </w:tcBorders>
                  <w:noWrap w:val="0"/>
                  <w:vAlign w:val="center"/>
                </w:tcPr>
                <w:p>
                  <w:pPr>
                    <w:widowControl/>
                    <w:spacing w:line="240" w:lineRule="auto"/>
                    <w:jc w:val="center"/>
                    <w:textAlignment w:val="center"/>
                    <w:rPr>
                      <w:rFonts w:ascii="宋体" w:hAnsi="宋体" w:eastAsia="宋体"/>
                      <w:kern w:val="0"/>
                      <w:sz w:val="18"/>
                      <w:szCs w:val="18"/>
                    </w:rPr>
                  </w:pPr>
                  <w:r>
                    <w:rPr>
                      <w:rFonts w:hint="default" w:ascii="Times New Roman" w:hAnsi="Times New Roman" w:eastAsia="宋体" w:cs="Times New Roman"/>
                      <w:color w:val="000000"/>
                      <w:kern w:val="0"/>
                      <w:sz w:val="18"/>
                      <w:szCs w:val="18"/>
                    </w:rPr>
                    <w:t>生产</w:t>
                  </w:r>
                  <w:r>
                    <w:rPr>
                      <w:rFonts w:hint="eastAsia" w:cs="Times New Roman"/>
                      <w:color w:val="000000"/>
                      <w:kern w:val="0"/>
                      <w:sz w:val="18"/>
                      <w:szCs w:val="18"/>
                      <w:lang w:val="en-US" w:eastAsia="zh-CN"/>
                    </w:rPr>
                    <w:t>车间</w:t>
                  </w:r>
                </w:p>
              </w:tc>
              <w:tc>
                <w:tcPr>
                  <w:tcW w:w="701" w:type="pct"/>
                  <w:tcBorders>
                    <w:tl2br w:val="nil"/>
                    <w:tr2bl w:val="nil"/>
                  </w:tcBorders>
                  <w:noWrap w:val="0"/>
                  <w:vAlign w:val="center"/>
                </w:tcPr>
                <w:p>
                  <w:pPr>
                    <w:adjustRightInd w:val="0"/>
                    <w:snapToGrid w:val="0"/>
                    <w:jc w:val="center"/>
                    <w:rPr>
                      <w:sz w:val="18"/>
                      <w:szCs w:val="18"/>
                    </w:rPr>
                  </w:pPr>
                  <w:r>
                    <w:rPr>
                      <w:rFonts w:hint="eastAsia"/>
                      <w:color w:val="auto"/>
                      <w:sz w:val="18"/>
                      <w:szCs w:val="18"/>
                    </w:rPr>
                    <w:t>其他类型</w:t>
                  </w:r>
                </w:p>
              </w:tc>
              <w:tc>
                <w:tcPr>
                  <w:tcW w:w="758" w:type="pct"/>
                  <w:tcBorders>
                    <w:tl2br w:val="nil"/>
                    <w:tr2bl w:val="nil"/>
                  </w:tcBorders>
                  <w:noWrap w:val="0"/>
                  <w:vAlign w:val="center"/>
                </w:tcPr>
                <w:p>
                  <w:pPr>
                    <w:jc w:val="center"/>
                    <w:rPr>
                      <w:sz w:val="18"/>
                      <w:szCs w:val="18"/>
                    </w:rPr>
                  </w:pPr>
                  <w:r>
                    <w:rPr>
                      <w:rFonts w:hint="eastAsia"/>
                      <w:color w:val="auto"/>
                      <w:sz w:val="18"/>
                      <w:szCs w:val="18"/>
                    </w:rPr>
                    <w:t>一般防渗</w:t>
                  </w:r>
                </w:p>
              </w:tc>
              <w:tc>
                <w:tcPr>
                  <w:tcW w:w="849" w:type="pct"/>
                  <w:tcBorders>
                    <w:tl2br w:val="nil"/>
                    <w:tr2bl w:val="nil"/>
                  </w:tcBorders>
                  <w:noWrap w:val="0"/>
                  <w:vAlign w:val="center"/>
                </w:tcPr>
                <w:p>
                  <w:pPr>
                    <w:jc w:val="center"/>
                    <w:rPr>
                      <w:rFonts w:hint="eastAsia" w:eastAsia="宋体"/>
                      <w:sz w:val="18"/>
                      <w:szCs w:val="18"/>
                      <w:lang w:eastAsia="zh-CN"/>
                    </w:rPr>
                  </w:pPr>
                  <w:r>
                    <w:rPr>
                      <w:rFonts w:hint="eastAsia"/>
                      <w:color w:val="auto"/>
                      <w:sz w:val="18"/>
                      <w:szCs w:val="18"/>
                      <w:lang w:val="en-US" w:eastAsia="zh-CN"/>
                    </w:rPr>
                    <w:t>地面</w:t>
                  </w:r>
                </w:p>
              </w:tc>
              <w:tc>
                <w:tcPr>
                  <w:tcW w:w="1391" w:type="pct"/>
                  <w:tcBorders>
                    <w:tl2br w:val="nil"/>
                    <w:tr2bl w:val="nil"/>
                  </w:tcBorders>
                  <w:noWrap w:val="0"/>
                  <w:vAlign w:val="center"/>
                </w:tcPr>
                <w:p>
                  <w:pPr>
                    <w:jc w:val="center"/>
                    <w:rPr>
                      <w:rFonts w:hint="eastAsia"/>
                      <w:sz w:val="18"/>
                      <w:szCs w:val="18"/>
                      <w:lang w:val="en-US" w:eastAsia="zh-CN"/>
                    </w:rPr>
                  </w:pPr>
                  <w:r>
                    <w:rPr>
                      <w:rFonts w:hint="eastAsia" w:ascii="Times New Roman" w:hAnsi="Times New Roman" w:eastAsia="宋体" w:cs="Times New Roman"/>
                      <w:color w:val="auto"/>
                      <w:sz w:val="18"/>
                      <w:szCs w:val="18"/>
                      <w:highlight w:val="none"/>
                      <w:lang w:val="en-US" w:eastAsia="zh-CN"/>
                    </w:rPr>
                    <w:t>垂直入渗、地面漫流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tcBorders>
                    <w:tl2br w:val="nil"/>
                    <w:tr2bl w:val="nil"/>
                  </w:tcBorders>
                  <w:noWrap w:val="0"/>
                  <w:vAlign w:val="center"/>
                </w:tcPr>
                <w:p>
                  <w:pPr>
                    <w:jc w:val="center"/>
                    <w:rPr>
                      <w:sz w:val="18"/>
                      <w:szCs w:val="18"/>
                    </w:rPr>
                  </w:pPr>
                  <w:r>
                    <w:rPr>
                      <w:color w:val="auto"/>
                      <w:sz w:val="18"/>
                      <w:szCs w:val="18"/>
                    </w:rPr>
                    <w:t>2</w:t>
                  </w:r>
                </w:p>
              </w:tc>
              <w:tc>
                <w:tcPr>
                  <w:tcW w:w="984" w:type="pct"/>
                  <w:tcBorders>
                    <w:tl2br w:val="nil"/>
                    <w:tr2bl w:val="nil"/>
                  </w:tcBorders>
                  <w:noWrap w:val="0"/>
                  <w:vAlign w:val="center"/>
                </w:tcPr>
                <w:p>
                  <w:pPr>
                    <w:widowControl/>
                    <w:spacing w:line="240" w:lineRule="auto"/>
                    <w:jc w:val="center"/>
                    <w:textAlignment w:val="center"/>
                    <w:rPr>
                      <w:rFonts w:hint="eastAsia" w:ascii="宋体" w:hAnsi="宋体" w:eastAsia="宋体"/>
                      <w:kern w:val="0"/>
                      <w:sz w:val="18"/>
                      <w:szCs w:val="18"/>
                      <w:lang w:val="en-US" w:eastAsia="zh-CN" w:bidi="ar-SA"/>
                    </w:rPr>
                  </w:pPr>
                  <w:r>
                    <w:rPr>
                      <w:rFonts w:hint="eastAsia" w:cs="Times New Roman"/>
                      <w:color w:val="000000"/>
                      <w:kern w:val="0"/>
                      <w:sz w:val="18"/>
                      <w:szCs w:val="18"/>
                      <w:lang w:val="en-US" w:eastAsia="zh-CN"/>
                    </w:rPr>
                    <w:t>化学品库</w:t>
                  </w:r>
                </w:p>
              </w:tc>
              <w:tc>
                <w:tcPr>
                  <w:tcW w:w="701" w:type="pct"/>
                  <w:tcBorders>
                    <w:tl2br w:val="nil"/>
                    <w:tr2bl w:val="nil"/>
                  </w:tcBorders>
                  <w:noWrap w:val="0"/>
                  <w:vAlign w:val="center"/>
                </w:tcPr>
                <w:p>
                  <w:pPr>
                    <w:adjustRightInd w:val="0"/>
                    <w:snapToGrid w:val="0"/>
                    <w:jc w:val="center"/>
                    <w:rPr>
                      <w:rFonts w:hint="eastAsia"/>
                      <w:kern w:val="2"/>
                      <w:sz w:val="18"/>
                      <w:szCs w:val="18"/>
                      <w:lang w:val="en-US" w:eastAsia="zh-CN" w:bidi="ar-SA"/>
                    </w:rPr>
                  </w:pPr>
                  <w:r>
                    <w:rPr>
                      <w:rFonts w:hint="eastAsia"/>
                      <w:color w:val="auto"/>
                      <w:sz w:val="18"/>
                      <w:szCs w:val="18"/>
                    </w:rPr>
                    <w:t>其他类型</w:t>
                  </w:r>
                </w:p>
              </w:tc>
              <w:tc>
                <w:tcPr>
                  <w:tcW w:w="758" w:type="pct"/>
                  <w:tcBorders>
                    <w:tl2br w:val="nil"/>
                    <w:tr2bl w:val="nil"/>
                  </w:tcBorders>
                  <w:noWrap w:val="0"/>
                  <w:vAlign w:val="center"/>
                </w:tcPr>
                <w:p>
                  <w:pPr>
                    <w:jc w:val="center"/>
                    <w:rPr>
                      <w:rFonts w:hint="eastAsia"/>
                      <w:kern w:val="2"/>
                      <w:sz w:val="18"/>
                      <w:szCs w:val="18"/>
                      <w:lang w:val="en-US" w:eastAsia="zh-CN" w:bidi="ar-SA"/>
                    </w:rPr>
                  </w:pPr>
                  <w:r>
                    <w:rPr>
                      <w:rFonts w:hint="eastAsia"/>
                      <w:color w:val="auto"/>
                      <w:sz w:val="18"/>
                      <w:szCs w:val="18"/>
                      <w:lang w:val="en-US" w:eastAsia="zh-CN"/>
                    </w:rPr>
                    <w:t>一般</w:t>
                  </w:r>
                  <w:r>
                    <w:rPr>
                      <w:rFonts w:hint="eastAsia"/>
                      <w:color w:val="auto"/>
                      <w:sz w:val="18"/>
                      <w:szCs w:val="18"/>
                    </w:rPr>
                    <w:t>防渗</w:t>
                  </w:r>
                </w:p>
              </w:tc>
              <w:tc>
                <w:tcPr>
                  <w:tcW w:w="849" w:type="pct"/>
                  <w:tcBorders>
                    <w:tl2br w:val="nil"/>
                    <w:tr2bl w:val="nil"/>
                  </w:tcBorders>
                  <w:noWrap w:val="0"/>
                  <w:vAlign w:val="center"/>
                </w:tcPr>
                <w:p>
                  <w:pPr>
                    <w:jc w:val="center"/>
                    <w:rPr>
                      <w:rFonts w:hint="eastAsia"/>
                      <w:kern w:val="2"/>
                      <w:sz w:val="18"/>
                      <w:szCs w:val="18"/>
                      <w:lang w:val="en-US" w:eastAsia="zh-CN" w:bidi="ar-SA"/>
                    </w:rPr>
                  </w:pPr>
                  <w:r>
                    <w:rPr>
                      <w:rFonts w:hint="eastAsia"/>
                      <w:color w:val="auto"/>
                      <w:sz w:val="18"/>
                      <w:szCs w:val="18"/>
                    </w:rPr>
                    <w:t>地面</w:t>
                  </w:r>
                </w:p>
              </w:tc>
              <w:tc>
                <w:tcPr>
                  <w:tcW w:w="1391" w:type="pct"/>
                  <w:tcBorders>
                    <w:tl2br w:val="nil"/>
                    <w:tr2bl w:val="nil"/>
                  </w:tcBorders>
                  <w:noWrap w:val="0"/>
                  <w:vAlign w:val="center"/>
                </w:tcPr>
                <w:p>
                  <w:pPr>
                    <w:jc w:val="center"/>
                    <w:rPr>
                      <w:rFonts w:hint="eastAsia"/>
                      <w:sz w:val="18"/>
                      <w:szCs w:val="18"/>
                    </w:rPr>
                  </w:pPr>
                  <w:r>
                    <w:rPr>
                      <w:rFonts w:hint="eastAsia" w:ascii="Times New Roman" w:hAnsi="Times New Roman" w:eastAsia="宋体" w:cs="Times New Roman"/>
                      <w:color w:val="auto"/>
                      <w:sz w:val="18"/>
                      <w:szCs w:val="18"/>
                      <w:highlight w:val="none"/>
                      <w:lang w:val="en-US" w:eastAsia="zh-CN"/>
                    </w:rPr>
                    <w:t>垂直入渗、地面漫流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tcBorders>
                    <w:tl2br w:val="nil"/>
                    <w:tr2bl w:val="nil"/>
                  </w:tcBorders>
                  <w:noWrap w:val="0"/>
                  <w:vAlign w:val="center"/>
                </w:tcPr>
                <w:p>
                  <w:pPr>
                    <w:jc w:val="center"/>
                    <w:rPr>
                      <w:rFonts w:hint="eastAsia" w:eastAsia="宋体"/>
                      <w:kern w:val="0"/>
                      <w:sz w:val="18"/>
                      <w:szCs w:val="18"/>
                      <w:lang w:val="en-US" w:eastAsia="zh-CN" w:bidi="ar-SA"/>
                    </w:rPr>
                  </w:pPr>
                  <w:r>
                    <w:rPr>
                      <w:rFonts w:hint="eastAsia"/>
                      <w:color w:val="auto"/>
                      <w:sz w:val="18"/>
                      <w:szCs w:val="18"/>
                      <w:lang w:val="en-US" w:eastAsia="zh-CN"/>
                    </w:rPr>
                    <w:t>3</w:t>
                  </w:r>
                </w:p>
              </w:tc>
              <w:tc>
                <w:tcPr>
                  <w:tcW w:w="984" w:type="pct"/>
                  <w:tcBorders>
                    <w:tl2br w:val="nil"/>
                    <w:tr2bl w:val="nil"/>
                  </w:tcBorders>
                  <w:noWrap w:val="0"/>
                  <w:vAlign w:val="center"/>
                </w:tcPr>
                <w:p>
                  <w:pPr>
                    <w:widowControl/>
                    <w:jc w:val="center"/>
                    <w:rPr>
                      <w:rFonts w:hint="eastAsia" w:ascii="宋体" w:hAnsi="宋体" w:eastAsia="宋体"/>
                      <w:kern w:val="0"/>
                      <w:sz w:val="18"/>
                      <w:szCs w:val="18"/>
                      <w:lang w:val="en-US" w:eastAsia="zh-CN" w:bidi="ar-SA"/>
                    </w:rPr>
                  </w:pPr>
                  <w:r>
                    <w:rPr>
                      <w:rFonts w:hint="eastAsia" w:ascii="宋体" w:hAnsi="宋体" w:eastAsia="宋体"/>
                      <w:color w:val="auto"/>
                      <w:kern w:val="0"/>
                      <w:sz w:val="18"/>
                      <w:szCs w:val="18"/>
                    </w:rPr>
                    <w:t>一般固废</w:t>
                  </w:r>
                  <w:r>
                    <w:rPr>
                      <w:rFonts w:hint="eastAsia" w:ascii="宋体" w:hAnsi="宋体" w:eastAsia="宋体"/>
                      <w:color w:val="auto"/>
                      <w:kern w:val="0"/>
                      <w:sz w:val="18"/>
                      <w:szCs w:val="18"/>
                      <w:lang w:val="en-US" w:eastAsia="zh-CN"/>
                    </w:rPr>
                    <w:t>仓库</w:t>
                  </w:r>
                </w:p>
              </w:tc>
              <w:tc>
                <w:tcPr>
                  <w:tcW w:w="701" w:type="pct"/>
                  <w:tcBorders>
                    <w:tl2br w:val="nil"/>
                    <w:tr2bl w:val="nil"/>
                  </w:tcBorders>
                  <w:noWrap w:val="0"/>
                  <w:vAlign w:val="center"/>
                </w:tcPr>
                <w:p>
                  <w:pPr>
                    <w:adjustRightInd w:val="0"/>
                    <w:snapToGrid w:val="0"/>
                    <w:jc w:val="center"/>
                    <w:rPr>
                      <w:rFonts w:hint="eastAsia"/>
                      <w:kern w:val="2"/>
                      <w:sz w:val="18"/>
                      <w:szCs w:val="18"/>
                      <w:lang w:val="en-US" w:eastAsia="zh-CN" w:bidi="ar-SA"/>
                    </w:rPr>
                  </w:pPr>
                  <w:r>
                    <w:rPr>
                      <w:rFonts w:hint="eastAsia"/>
                      <w:color w:val="auto"/>
                      <w:sz w:val="18"/>
                      <w:szCs w:val="18"/>
                    </w:rPr>
                    <w:t>其他类型</w:t>
                  </w:r>
                </w:p>
              </w:tc>
              <w:tc>
                <w:tcPr>
                  <w:tcW w:w="758" w:type="pct"/>
                  <w:tcBorders>
                    <w:tl2br w:val="nil"/>
                    <w:tr2bl w:val="nil"/>
                  </w:tcBorders>
                  <w:noWrap w:val="0"/>
                  <w:vAlign w:val="center"/>
                </w:tcPr>
                <w:p>
                  <w:pPr>
                    <w:jc w:val="center"/>
                    <w:rPr>
                      <w:rFonts w:hint="default" w:eastAsia="宋体"/>
                      <w:kern w:val="2"/>
                      <w:sz w:val="18"/>
                      <w:szCs w:val="18"/>
                      <w:lang w:val="en-US" w:eastAsia="zh-CN" w:bidi="ar-SA"/>
                    </w:rPr>
                  </w:pPr>
                  <w:r>
                    <w:rPr>
                      <w:rFonts w:hint="eastAsia"/>
                      <w:color w:val="auto"/>
                      <w:sz w:val="18"/>
                      <w:szCs w:val="18"/>
                    </w:rPr>
                    <w:t>简单防渗</w:t>
                  </w:r>
                </w:p>
              </w:tc>
              <w:tc>
                <w:tcPr>
                  <w:tcW w:w="849" w:type="pct"/>
                  <w:tcBorders>
                    <w:tl2br w:val="nil"/>
                    <w:tr2bl w:val="nil"/>
                  </w:tcBorders>
                  <w:noWrap w:val="0"/>
                  <w:vAlign w:val="center"/>
                </w:tcPr>
                <w:p>
                  <w:pPr>
                    <w:jc w:val="center"/>
                    <w:rPr>
                      <w:rFonts w:hint="default" w:eastAsia="宋体"/>
                      <w:kern w:val="2"/>
                      <w:sz w:val="18"/>
                      <w:szCs w:val="18"/>
                      <w:lang w:val="en-US" w:eastAsia="zh-CN" w:bidi="ar-SA"/>
                    </w:rPr>
                  </w:pPr>
                  <w:r>
                    <w:rPr>
                      <w:rFonts w:hint="eastAsia"/>
                      <w:color w:val="auto"/>
                      <w:sz w:val="18"/>
                      <w:szCs w:val="18"/>
                    </w:rPr>
                    <w:t>地面</w:t>
                  </w:r>
                </w:p>
              </w:tc>
              <w:tc>
                <w:tcPr>
                  <w:tcW w:w="1391" w:type="pct"/>
                  <w:tcBorders>
                    <w:tl2br w:val="nil"/>
                    <w:tr2bl w:val="nil"/>
                  </w:tcBorders>
                  <w:noWrap w:val="0"/>
                  <w:vAlign w:val="center"/>
                </w:tcPr>
                <w:p>
                  <w:pPr>
                    <w:jc w:val="center"/>
                    <w:rPr>
                      <w:rFonts w:hint="eastAsia"/>
                      <w:sz w:val="18"/>
                      <w:szCs w:val="18"/>
                    </w:rPr>
                  </w:pPr>
                  <w:r>
                    <w:rPr>
                      <w:rFonts w:hint="eastAsia" w:ascii="Times New Roman" w:hAnsi="Times New Roman" w:eastAsia="宋体" w:cs="Times New Roman"/>
                      <w:color w:val="auto"/>
                      <w:sz w:val="18"/>
                      <w:szCs w:val="18"/>
                      <w:highlight w:val="none"/>
                      <w:lang w:val="en-US" w:eastAsia="zh-CN"/>
                    </w:rPr>
                    <w:t>垂直入渗、地面漫流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tcBorders>
                    <w:tl2br w:val="nil"/>
                    <w:tr2bl w:val="nil"/>
                  </w:tcBorders>
                  <w:noWrap w:val="0"/>
                  <w:vAlign w:val="center"/>
                </w:tcPr>
                <w:p>
                  <w:pPr>
                    <w:jc w:val="center"/>
                    <w:rPr>
                      <w:rFonts w:hint="eastAsia"/>
                      <w:sz w:val="18"/>
                      <w:szCs w:val="18"/>
                      <w:lang w:val="en-US" w:eastAsia="zh-CN"/>
                    </w:rPr>
                  </w:pPr>
                  <w:r>
                    <w:rPr>
                      <w:rFonts w:hint="eastAsia"/>
                      <w:color w:val="auto"/>
                      <w:sz w:val="18"/>
                      <w:szCs w:val="18"/>
                    </w:rPr>
                    <w:t>4</w:t>
                  </w:r>
                </w:p>
              </w:tc>
              <w:tc>
                <w:tcPr>
                  <w:tcW w:w="984" w:type="pct"/>
                  <w:tcBorders>
                    <w:tl2br w:val="nil"/>
                    <w:tr2bl w:val="nil"/>
                  </w:tcBorders>
                  <w:noWrap w:val="0"/>
                  <w:vAlign w:val="center"/>
                </w:tcPr>
                <w:p>
                  <w:pPr>
                    <w:widowControl/>
                    <w:jc w:val="center"/>
                    <w:rPr>
                      <w:rFonts w:hint="eastAsia" w:ascii="Times New Roman" w:hAnsi="Times New Roman" w:eastAsia="宋体" w:cs="Times New Roman"/>
                      <w:sz w:val="18"/>
                      <w:szCs w:val="18"/>
                      <w:lang w:val="en-US" w:eastAsia="zh-CN"/>
                    </w:rPr>
                  </w:pPr>
                  <w:r>
                    <w:rPr>
                      <w:rFonts w:hint="eastAsia" w:ascii="宋体" w:hAnsi="宋体" w:eastAsia="宋体"/>
                      <w:color w:val="auto"/>
                      <w:kern w:val="0"/>
                      <w:sz w:val="18"/>
                      <w:szCs w:val="18"/>
                    </w:rPr>
                    <w:t>危废</w:t>
                  </w:r>
                  <w:r>
                    <w:rPr>
                      <w:rFonts w:hint="eastAsia" w:ascii="宋体" w:hAnsi="宋体" w:eastAsia="宋体"/>
                      <w:color w:val="auto"/>
                      <w:kern w:val="0"/>
                      <w:sz w:val="18"/>
                      <w:szCs w:val="18"/>
                      <w:lang w:val="en-US" w:eastAsia="zh-CN"/>
                    </w:rPr>
                    <w:t>仓库</w:t>
                  </w:r>
                </w:p>
              </w:tc>
              <w:tc>
                <w:tcPr>
                  <w:tcW w:w="701" w:type="pct"/>
                  <w:tcBorders>
                    <w:tl2br w:val="nil"/>
                    <w:tr2bl w:val="nil"/>
                  </w:tcBorders>
                  <w:noWrap w:val="0"/>
                  <w:vAlign w:val="center"/>
                </w:tcPr>
                <w:p>
                  <w:pPr>
                    <w:adjustRightInd w:val="0"/>
                    <w:snapToGrid w:val="0"/>
                    <w:jc w:val="center"/>
                    <w:rPr>
                      <w:rFonts w:hint="eastAsia"/>
                      <w:sz w:val="18"/>
                      <w:szCs w:val="18"/>
                    </w:rPr>
                  </w:pPr>
                  <w:r>
                    <w:rPr>
                      <w:rFonts w:hint="eastAsia"/>
                      <w:color w:val="auto"/>
                      <w:sz w:val="18"/>
                      <w:szCs w:val="18"/>
                    </w:rPr>
                    <w:t>其他类型</w:t>
                  </w:r>
                </w:p>
              </w:tc>
              <w:tc>
                <w:tcPr>
                  <w:tcW w:w="758" w:type="pct"/>
                  <w:tcBorders>
                    <w:tl2br w:val="nil"/>
                    <w:tr2bl w:val="nil"/>
                  </w:tcBorders>
                  <w:noWrap w:val="0"/>
                  <w:vAlign w:val="center"/>
                </w:tcPr>
                <w:p>
                  <w:pPr>
                    <w:jc w:val="center"/>
                    <w:rPr>
                      <w:rFonts w:hint="eastAsia"/>
                      <w:sz w:val="18"/>
                      <w:szCs w:val="18"/>
                      <w:lang w:val="en-US" w:eastAsia="zh-CN"/>
                    </w:rPr>
                  </w:pPr>
                  <w:r>
                    <w:rPr>
                      <w:rFonts w:hint="eastAsia"/>
                      <w:color w:val="auto"/>
                      <w:sz w:val="18"/>
                      <w:szCs w:val="18"/>
                      <w:lang w:val="en-US" w:eastAsia="zh-CN"/>
                    </w:rPr>
                    <w:t>重点防渗</w:t>
                  </w:r>
                </w:p>
              </w:tc>
              <w:tc>
                <w:tcPr>
                  <w:tcW w:w="849" w:type="pct"/>
                  <w:tcBorders>
                    <w:tl2br w:val="nil"/>
                    <w:tr2bl w:val="nil"/>
                  </w:tcBorders>
                  <w:noWrap w:val="0"/>
                  <w:vAlign w:val="center"/>
                </w:tcPr>
                <w:p>
                  <w:pPr>
                    <w:jc w:val="center"/>
                    <w:rPr>
                      <w:rFonts w:hint="eastAsia"/>
                      <w:sz w:val="18"/>
                      <w:szCs w:val="18"/>
                    </w:rPr>
                  </w:pPr>
                  <w:r>
                    <w:rPr>
                      <w:rFonts w:hint="eastAsia"/>
                      <w:color w:val="auto"/>
                      <w:sz w:val="18"/>
                      <w:szCs w:val="18"/>
                    </w:rPr>
                    <w:t>地面</w:t>
                  </w:r>
                  <w:r>
                    <w:rPr>
                      <w:rFonts w:hint="eastAsia"/>
                      <w:color w:val="auto"/>
                      <w:sz w:val="18"/>
                      <w:szCs w:val="18"/>
                      <w:lang w:val="en-US" w:eastAsia="zh-CN"/>
                    </w:rPr>
                    <w:t>与裙角</w:t>
                  </w:r>
                </w:p>
              </w:tc>
              <w:tc>
                <w:tcPr>
                  <w:tcW w:w="1391" w:type="pct"/>
                  <w:tcBorders>
                    <w:tl2br w:val="nil"/>
                    <w:tr2bl w:val="nil"/>
                  </w:tcBorders>
                  <w:noWrap w:val="0"/>
                  <w:vAlign w:val="center"/>
                </w:tcPr>
                <w:p>
                  <w:pPr>
                    <w:jc w:val="center"/>
                    <w:rPr>
                      <w:rFonts w:hint="eastAsia"/>
                      <w:sz w:val="18"/>
                      <w:szCs w:val="18"/>
                    </w:rPr>
                  </w:pPr>
                  <w:r>
                    <w:rPr>
                      <w:rFonts w:hint="eastAsia" w:ascii="Times New Roman" w:hAnsi="Times New Roman" w:eastAsia="宋体" w:cs="Times New Roman"/>
                      <w:color w:val="auto"/>
                      <w:sz w:val="18"/>
                      <w:szCs w:val="18"/>
                      <w:highlight w:val="none"/>
                      <w:lang w:val="en-US" w:eastAsia="zh-CN"/>
                    </w:rPr>
                    <w:t>垂直入渗、地面漫流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4" w:type="pct"/>
                  <w:tcBorders>
                    <w:tl2br w:val="nil"/>
                    <w:tr2bl w:val="nil"/>
                  </w:tcBorders>
                  <w:noWrap w:val="0"/>
                  <w:vAlign w:val="center"/>
                </w:tcPr>
                <w:p>
                  <w:pPr>
                    <w:jc w:val="center"/>
                    <w:rPr>
                      <w:rFonts w:hint="eastAsia"/>
                      <w:sz w:val="18"/>
                      <w:szCs w:val="18"/>
                      <w:lang w:val="en-US" w:eastAsia="zh-CN"/>
                    </w:rPr>
                  </w:pPr>
                  <w:r>
                    <w:rPr>
                      <w:rFonts w:hint="eastAsia"/>
                      <w:color w:val="auto"/>
                      <w:sz w:val="18"/>
                      <w:szCs w:val="18"/>
                      <w:lang w:val="en-US" w:eastAsia="zh-CN"/>
                    </w:rPr>
                    <w:t>5</w:t>
                  </w:r>
                </w:p>
              </w:tc>
              <w:tc>
                <w:tcPr>
                  <w:tcW w:w="984" w:type="pct"/>
                  <w:tcBorders>
                    <w:tl2br w:val="nil"/>
                    <w:tr2bl w:val="nil"/>
                  </w:tcBorders>
                  <w:noWrap w:val="0"/>
                  <w:vAlign w:val="center"/>
                </w:tcPr>
                <w:p>
                  <w:pPr>
                    <w:widowControl/>
                    <w:jc w:val="center"/>
                    <w:rPr>
                      <w:rFonts w:hint="default" w:ascii="Times New Roman" w:hAnsi="Times New Roman" w:cs="Times New Roman"/>
                      <w:sz w:val="18"/>
                      <w:szCs w:val="18"/>
                      <w:lang w:val="en-US" w:eastAsia="zh-CN"/>
                    </w:rPr>
                  </w:pPr>
                  <w:r>
                    <w:rPr>
                      <w:rFonts w:hint="eastAsia" w:ascii="宋体" w:hAnsi="宋体" w:eastAsia="宋体"/>
                      <w:color w:val="auto"/>
                      <w:kern w:val="0"/>
                      <w:sz w:val="18"/>
                      <w:szCs w:val="18"/>
                      <w:lang w:val="en-US" w:eastAsia="zh-CN"/>
                    </w:rPr>
                    <w:t>废气处理设施</w:t>
                  </w:r>
                </w:p>
              </w:tc>
              <w:tc>
                <w:tcPr>
                  <w:tcW w:w="701" w:type="pct"/>
                  <w:tcBorders>
                    <w:tl2br w:val="nil"/>
                    <w:tr2bl w:val="nil"/>
                  </w:tcBorders>
                  <w:noWrap w:val="0"/>
                  <w:vAlign w:val="center"/>
                </w:tcPr>
                <w:p>
                  <w:pPr>
                    <w:adjustRightInd w:val="0"/>
                    <w:snapToGrid w:val="0"/>
                    <w:jc w:val="center"/>
                    <w:rPr>
                      <w:rFonts w:hint="eastAsia"/>
                      <w:sz w:val="18"/>
                      <w:szCs w:val="18"/>
                    </w:rPr>
                  </w:pPr>
                  <w:r>
                    <w:rPr>
                      <w:rFonts w:hint="eastAsia"/>
                      <w:color w:val="auto"/>
                      <w:sz w:val="18"/>
                      <w:szCs w:val="18"/>
                    </w:rPr>
                    <w:t>其他类型</w:t>
                  </w:r>
                </w:p>
              </w:tc>
              <w:tc>
                <w:tcPr>
                  <w:tcW w:w="758" w:type="pct"/>
                  <w:tcBorders>
                    <w:tl2br w:val="nil"/>
                    <w:tr2bl w:val="nil"/>
                  </w:tcBorders>
                  <w:noWrap w:val="0"/>
                  <w:vAlign w:val="center"/>
                </w:tcPr>
                <w:p>
                  <w:pPr>
                    <w:jc w:val="center"/>
                    <w:rPr>
                      <w:rFonts w:hint="eastAsia"/>
                      <w:sz w:val="18"/>
                      <w:szCs w:val="18"/>
                      <w:lang w:val="en-US" w:eastAsia="zh-CN"/>
                    </w:rPr>
                  </w:pPr>
                  <w:r>
                    <w:rPr>
                      <w:rFonts w:hint="eastAsia"/>
                      <w:color w:val="auto"/>
                      <w:sz w:val="18"/>
                      <w:szCs w:val="18"/>
                      <w:lang w:val="en-US" w:eastAsia="zh-CN"/>
                    </w:rPr>
                    <w:t>一般</w:t>
                  </w:r>
                  <w:r>
                    <w:rPr>
                      <w:rFonts w:hint="eastAsia"/>
                      <w:color w:val="auto"/>
                      <w:sz w:val="18"/>
                      <w:szCs w:val="18"/>
                    </w:rPr>
                    <w:t>防渗</w:t>
                  </w:r>
                </w:p>
              </w:tc>
              <w:tc>
                <w:tcPr>
                  <w:tcW w:w="849" w:type="pct"/>
                  <w:tcBorders>
                    <w:tl2br w:val="nil"/>
                    <w:tr2bl w:val="nil"/>
                  </w:tcBorders>
                  <w:noWrap w:val="0"/>
                  <w:vAlign w:val="center"/>
                </w:tcPr>
                <w:p>
                  <w:pPr>
                    <w:jc w:val="center"/>
                    <w:rPr>
                      <w:rFonts w:hint="eastAsia"/>
                      <w:sz w:val="18"/>
                      <w:szCs w:val="18"/>
                    </w:rPr>
                  </w:pPr>
                  <w:r>
                    <w:rPr>
                      <w:rFonts w:hint="eastAsia"/>
                      <w:color w:val="auto"/>
                      <w:sz w:val="18"/>
                      <w:szCs w:val="18"/>
                    </w:rPr>
                    <w:t>地面</w:t>
                  </w:r>
                </w:p>
              </w:tc>
              <w:tc>
                <w:tcPr>
                  <w:tcW w:w="1391" w:type="pct"/>
                  <w:tcBorders>
                    <w:tl2br w:val="nil"/>
                    <w:tr2bl w:val="nil"/>
                  </w:tcBorders>
                  <w:noWrap w:val="0"/>
                  <w:vAlign w:val="center"/>
                </w:tcPr>
                <w:p>
                  <w:pPr>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大气沉降</w:t>
                  </w:r>
                </w:p>
              </w:tc>
            </w:tr>
            <w:bookmarkEnd w:id="2"/>
            <w:bookmarkEnd w:id="3"/>
          </w:tbl>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为保护地下水</w:t>
            </w:r>
            <w:r>
              <w:rPr>
                <w:rFonts w:hint="default" w:ascii="Times New Roman" w:hAnsi="Times New Roman" w:eastAsia="宋体" w:cs="Times New Roman"/>
                <w:color w:val="auto"/>
                <w:sz w:val="21"/>
                <w:szCs w:val="21"/>
                <w:highlight w:val="none"/>
                <w:lang w:val="en-US" w:eastAsia="zh-CN"/>
              </w:rPr>
              <w:t>及土壤</w:t>
            </w:r>
            <w:r>
              <w:rPr>
                <w:rFonts w:hint="default" w:ascii="Times New Roman" w:hAnsi="Times New Roman" w:eastAsia="宋体" w:cs="Times New Roman"/>
                <w:color w:val="auto"/>
                <w:sz w:val="21"/>
                <w:szCs w:val="21"/>
                <w:highlight w:val="none"/>
              </w:rPr>
              <w:t>环境，</w:t>
            </w:r>
            <w:r>
              <w:rPr>
                <w:rFonts w:hint="default" w:ascii="Times New Roman" w:hAnsi="Times New Roman" w:eastAsia="宋体" w:cs="Times New Roman"/>
                <w:color w:val="auto"/>
                <w:sz w:val="21"/>
                <w:szCs w:val="21"/>
                <w:highlight w:val="none"/>
                <w:lang w:val="en-US" w:eastAsia="zh-CN"/>
              </w:rPr>
              <w:t>建议企业</w:t>
            </w:r>
            <w:r>
              <w:rPr>
                <w:rFonts w:hint="default" w:ascii="Times New Roman" w:hAnsi="Times New Roman" w:eastAsia="宋体" w:cs="Times New Roman"/>
                <w:color w:val="auto"/>
                <w:sz w:val="21"/>
                <w:szCs w:val="21"/>
                <w:highlight w:val="none"/>
              </w:rPr>
              <w:t>采取以下污染防治措施</w:t>
            </w:r>
            <w:r>
              <w:rPr>
                <w:rFonts w:hint="eastAsia" w:ascii="Times New Roman" w:hAnsi="Times New Roman" w:eastAsia="宋体" w:cs="Times New Roman"/>
                <w:color w:val="auto"/>
                <w:sz w:val="21"/>
                <w:szCs w:val="21"/>
                <w:highlight w:val="none"/>
                <w:lang w:val="en-US" w:eastAsia="zh-CN"/>
              </w:rPr>
              <w:t>及环境管理措施</w:t>
            </w:r>
            <w:r>
              <w:rPr>
                <w:rFonts w:hint="default" w:ascii="Times New Roman" w:hAnsi="Times New Roman" w:eastAsia="宋体" w:cs="Times New Roman"/>
                <w:color w:val="auto"/>
                <w:sz w:val="21"/>
                <w:szCs w:val="21"/>
                <w:highlight w:val="none"/>
              </w:rPr>
              <w:t>：</w:t>
            </w:r>
          </w:p>
          <w:p>
            <w:pPr>
              <w:pStyle w:val="38"/>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企业生产车间地面铺设环氧地坪，做好防渗、防漏、防腐蚀；化学品间地面铺设环氧地坪，并采取相应的防渗防漏措施；固废分类收集、存放，一般固废暂存于一般固废暂存场所，防风、防雨，地面进行硬化；危险废物贮存于危废暂存场所，液态危废采用密闭桶装储存，并采用防泄漏托盘放置液态危废，地面铺设环氧地坪等，做好防渗、防漏、防腐蚀、防晒、防淋等措施；</w:t>
            </w:r>
          </w:p>
          <w:p>
            <w:pPr>
              <w:pStyle w:val="38"/>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②生产过程严格控制，定期对设备等进行检修，防止跑、冒、滴、漏现象发生；企业原辅料均堆放在车间内，分区存放，能有效避免雨水淋溶等对土壤和地表水造成二次污染；厂区内污水管网均采用管道输送，清污分流，保证污水能够顺畅排入市政污水管网。</w:t>
            </w:r>
          </w:p>
          <w:p>
            <w:pPr>
              <w:keepNext w:val="0"/>
              <w:keepLines w:val="0"/>
              <w:pageBreakBefore w:val="0"/>
              <w:kinsoku/>
              <w:wordWrap/>
              <w:overflowPunct/>
              <w:topLinePunct w:val="0"/>
              <w:autoSpaceDE/>
              <w:autoSpaceDN/>
              <w:bidi w:val="0"/>
              <w:adjustRightInd/>
              <w:snapToGrid/>
              <w:spacing w:line="360" w:lineRule="auto"/>
              <w:ind w:right="0" w:firstLine="420" w:firstLineChars="200"/>
              <w:jc w:val="both"/>
              <w:textAlignment w:val="auto"/>
              <w:rPr>
                <w:rFonts w:hint="eastAsia"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rPr>
              <w:t>在充分落实以上防渗措施</w:t>
            </w:r>
            <w:r>
              <w:rPr>
                <w:rFonts w:hint="eastAsia" w:ascii="Times New Roman" w:hAnsi="Times New Roman" w:eastAsia="宋体" w:cs="Times New Roman"/>
                <w:color w:val="auto"/>
                <w:sz w:val="21"/>
                <w:szCs w:val="21"/>
                <w:highlight w:val="none"/>
                <w:lang w:val="en-US" w:eastAsia="zh-CN"/>
              </w:rPr>
              <w:t>及加强环境管理</w:t>
            </w:r>
            <w:r>
              <w:rPr>
                <w:rFonts w:hint="default" w:ascii="Times New Roman" w:hAnsi="Times New Roman" w:eastAsia="宋体" w:cs="Times New Roman"/>
                <w:color w:val="auto"/>
                <w:sz w:val="21"/>
                <w:szCs w:val="21"/>
                <w:highlight w:val="none"/>
              </w:rPr>
              <w:t>的前提下，项目建设能够达到保护</w:t>
            </w:r>
            <w:r>
              <w:rPr>
                <w:rFonts w:hint="eastAsia" w:ascii="Times New Roman" w:hAnsi="Times New Roman" w:eastAsia="宋体" w:cs="Times New Roman"/>
                <w:color w:val="auto"/>
                <w:sz w:val="21"/>
                <w:szCs w:val="21"/>
                <w:highlight w:val="none"/>
                <w:lang w:val="en-US" w:eastAsia="zh-CN"/>
              </w:rPr>
              <w:t>土壤及</w:t>
            </w:r>
            <w:r>
              <w:rPr>
                <w:rFonts w:hint="default" w:ascii="Times New Roman" w:hAnsi="Times New Roman" w:eastAsia="宋体" w:cs="Times New Roman"/>
                <w:color w:val="auto"/>
                <w:sz w:val="21"/>
                <w:szCs w:val="21"/>
                <w:highlight w:val="none"/>
              </w:rPr>
              <w:t>地下水环境的目的</w:t>
            </w:r>
            <w:r>
              <w:rPr>
                <w:rFonts w:hint="eastAsia" w:ascii="Times New Roman" w:hAnsi="Times New Roman" w:eastAsia="宋体" w:cs="Times New Roman"/>
                <w:color w:val="auto"/>
                <w:sz w:val="21"/>
                <w:szCs w:val="21"/>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leftChars="200" w:right="0" w:rightChars="0"/>
              <w:jc w:val="both"/>
              <w:textAlignment w:val="auto"/>
              <w:rPr>
                <w:rFonts w:hint="default" w:ascii="Times New Roman" w:hAnsi="Times New Roman" w:eastAsia="宋体" w:cs="Times New Roman"/>
                <w:sz w:val="21"/>
                <w:szCs w:val="21"/>
                <w:highlight w:val="none"/>
                <w:lang w:val="en-US" w:eastAsia="zh-CN"/>
              </w:rPr>
            </w:pPr>
            <w:r>
              <w:rPr>
                <w:rFonts w:hint="eastAsia"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、生态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jc w:val="both"/>
              <w:textAlignment w:val="auto"/>
              <w:rPr>
                <w:rFonts w:hint="eastAsia"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无新增用地</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line="360" w:lineRule="auto"/>
              <w:ind w:right="0" w:firstLine="422" w:firstLineChars="200"/>
              <w:jc w:val="both"/>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、环境风险</w:t>
            </w:r>
          </w:p>
          <w:p>
            <w:pPr>
              <w:pStyle w:val="29"/>
              <w:keepNext w:val="0"/>
              <w:keepLines w:val="0"/>
              <w:pageBreakBefore w:val="0"/>
              <w:widowControl w:val="0"/>
              <w:kinsoku/>
              <w:wordWrap/>
              <w:overflowPunct/>
              <w:topLinePunct w:val="0"/>
              <w:autoSpaceDE/>
              <w:autoSpaceDN/>
              <w:bidi w:val="0"/>
              <w:adjustRightInd/>
              <w:snapToGrid/>
              <w:spacing w:before="0" w:line="360" w:lineRule="auto"/>
              <w:ind w:right="0" w:firstLine="420" w:firstLineChars="200"/>
              <w:jc w:val="both"/>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根据《建设项目环境风险评价技术导则》（HJ169-2018）附录B判断，本项目涉及的危险物质数量与临界量比值（Q）值确定表如下表。</w:t>
            </w:r>
          </w:p>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表</w:t>
            </w:r>
            <w:r>
              <w:rPr>
                <w:rFonts w:hint="eastAsia" w:ascii="Times New Roman" w:hAnsi="Times New Roman" w:eastAsia="宋体" w:cs="Times New Roman"/>
                <w:b/>
                <w:color w:val="000000"/>
                <w:sz w:val="21"/>
                <w:szCs w:val="21"/>
                <w:highlight w:val="none"/>
                <w:lang w:val="en-US" w:eastAsia="zh-CN"/>
              </w:rPr>
              <w:t>4-</w:t>
            </w:r>
            <w:r>
              <w:rPr>
                <w:rFonts w:hint="eastAsia" w:cs="Times New Roman"/>
                <w:b/>
                <w:color w:val="000000"/>
                <w:sz w:val="21"/>
                <w:szCs w:val="21"/>
                <w:highlight w:val="none"/>
                <w:lang w:val="en-US" w:eastAsia="zh-CN"/>
              </w:rPr>
              <w:t>25</w:t>
            </w:r>
            <w:r>
              <w:rPr>
                <w:rFonts w:hint="eastAsia" w:ascii="Times New Roman" w:hAnsi="Times New Roman" w:eastAsia="宋体" w:cs="Times New Roman"/>
                <w:b/>
                <w:color w:val="000000"/>
                <w:sz w:val="21"/>
                <w:szCs w:val="21"/>
                <w:highlight w:val="none"/>
                <w:lang w:val="en-US" w:eastAsia="zh-CN"/>
              </w:rPr>
              <w:t xml:space="preserve"> </w:t>
            </w:r>
            <w:r>
              <w:rPr>
                <w:rFonts w:hint="default" w:ascii="Times New Roman" w:hAnsi="Times New Roman" w:eastAsia="宋体" w:cs="Times New Roman"/>
                <w:b/>
                <w:color w:val="000000"/>
                <w:sz w:val="21"/>
                <w:szCs w:val="21"/>
                <w:highlight w:val="none"/>
              </w:rPr>
              <w:t xml:space="preserve"> 建设项目Q值确定表</w:t>
            </w:r>
          </w:p>
          <w:tbl>
            <w:tblPr>
              <w:tblStyle w:val="16"/>
              <w:tblW w:w="77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64"/>
              <w:gridCol w:w="25"/>
              <w:gridCol w:w="819"/>
              <w:gridCol w:w="987"/>
              <w:gridCol w:w="1689"/>
              <w:gridCol w:w="1065"/>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序号</w:t>
                  </w:r>
                </w:p>
              </w:tc>
              <w:tc>
                <w:tcPr>
                  <w:tcW w:w="1708" w:type="dxa"/>
                  <w:gridSpan w:val="3"/>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危险物质名称</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CAS号</w:t>
                  </w:r>
                </w:p>
              </w:tc>
              <w:tc>
                <w:tcPr>
                  <w:tcW w:w="168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最大存在总量q</w:t>
                  </w:r>
                  <w:r>
                    <w:rPr>
                      <w:rFonts w:hint="default" w:ascii="Times New Roman" w:hAnsi="Times New Roman" w:eastAsia="宋体" w:cs="Times New Roman"/>
                      <w:b/>
                      <w:bCs/>
                      <w:color w:val="000000"/>
                      <w:sz w:val="18"/>
                      <w:szCs w:val="18"/>
                      <w:highlight w:val="none"/>
                      <w:vertAlign w:val="subscript"/>
                    </w:rPr>
                    <w:t>n</w:t>
                  </w:r>
                  <w:r>
                    <w:rPr>
                      <w:rFonts w:hint="default" w:ascii="Times New Roman" w:hAnsi="Times New Roman" w:eastAsia="宋体" w:cs="Times New Roman"/>
                      <w:b/>
                      <w:bCs/>
                      <w:color w:val="000000"/>
                      <w:sz w:val="18"/>
                      <w:szCs w:val="18"/>
                      <w:highlight w:val="none"/>
                    </w:rPr>
                    <w:t>/t</w:t>
                  </w:r>
                </w:p>
              </w:tc>
              <w:tc>
                <w:tcPr>
                  <w:tcW w:w="1065"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临界量Q</w:t>
                  </w:r>
                  <w:r>
                    <w:rPr>
                      <w:rFonts w:hint="default" w:ascii="Times New Roman" w:hAnsi="Times New Roman" w:eastAsia="宋体" w:cs="Times New Roman"/>
                      <w:b/>
                      <w:bCs/>
                      <w:color w:val="000000"/>
                      <w:sz w:val="18"/>
                      <w:szCs w:val="18"/>
                      <w:highlight w:val="none"/>
                      <w:vertAlign w:val="subscript"/>
                    </w:rPr>
                    <w:t>n</w:t>
                  </w:r>
                  <w:r>
                    <w:rPr>
                      <w:rFonts w:hint="default" w:ascii="Times New Roman" w:hAnsi="Times New Roman" w:eastAsia="宋体" w:cs="Times New Roman"/>
                      <w:b/>
                      <w:bCs/>
                      <w:color w:val="000000"/>
                      <w:sz w:val="18"/>
                      <w:szCs w:val="18"/>
                      <w:highlight w:val="none"/>
                    </w:rPr>
                    <w:t>/t</w:t>
                  </w:r>
                </w:p>
              </w:tc>
              <w:tc>
                <w:tcPr>
                  <w:tcW w:w="165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color w:val="000000"/>
                      <w:sz w:val="18"/>
                      <w:szCs w:val="18"/>
                      <w:highlight w:val="none"/>
                    </w:rPr>
                  </w:pPr>
                  <w:r>
                    <w:rPr>
                      <w:rFonts w:hint="default" w:ascii="Times New Roman" w:hAnsi="Times New Roman" w:eastAsia="宋体" w:cs="Times New Roman"/>
                      <w:b/>
                      <w:bCs/>
                      <w:color w:val="000000"/>
                      <w:sz w:val="18"/>
                      <w:szCs w:val="18"/>
                      <w:highlight w:val="none"/>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eastAsia="zh-CN"/>
                    </w:rPr>
                  </w:pPr>
                  <w:r>
                    <w:rPr>
                      <w:rFonts w:hint="eastAsia" w:cs="Times New Roman"/>
                      <w:color w:val="000000"/>
                      <w:sz w:val="18"/>
                      <w:szCs w:val="18"/>
                      <w:highlight w:val="none"/>
                      <w:lang w:val="en-US" w:eastAsia="zh-CN"/>
                    </w:rPr>
                    <w:t>1</w:t>
                  </w:r>
                </w:p>
              </w:tc>
              <w:tc>
                <w:tcPr>
                  <w:tcW w:w="864" w:type="dxa"/>
                  <w:vMerge w:val="restart"/>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val="en-US" w:eastAsia="zh-CN"/>
                    </w:rPr>
                    <w:t>短中期气化性防锈剂</w:t>
                  </w:r>
                </w:p>
              </w:tc>
              <w:tc>
                <w:tcPr>
                  <w:tcW w:w="844" w:type="dxa"/>
                  <w:gridSpan w:val="2"/>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cs="Times New Roman"/>
                      <w:color w:val="000000"/>
                      <w:sz w:val="18"/>
                      <w:szCs w:val="18"/>
                      <w:highlight w:val="none"/>
                      <w:lang w:val="en-US" w:eastAsia="zh-CN"/>
                    </w:rPr>
                    <w:t>丙烷80%</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rPr>
                  </w:pPr>
                  <w:r>
                    <w:rPr>
                      <w:rFonts w:hint="eastAsia" w:cs="Times New Roman"/>
                      <w:color w:val="000000"/>
                      <w:sz w:val="18"/>
                      <w:szCs w:val="18"/>
                      <w:highlight w:val="none"/>
                      <w:lang w:val="en-US" w:eastAsia="zh-CN"/>
                    </w:rPr>
                    <w:t>74-98-6</w:t>
                  </w:r>
                </w:p>
              </w:tc>
              <w:tc>
                <w:tcPr>
                  <w:tcW w:w="16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b w:val="0"/>
                      <w:bCs w:val="0"/>
                      <w:color w:val="auto"/>
                      <w:sz w:val="18"/>
                      <w:szCs w:val="18"/>
                      <w:vertAlign w:val="baseline"/>
                      <w:lang w:val="en-US" w:eastAsia="zh-CN"/>
                    </w:rPr>
                    <w:t>0.0</w:t>
                  </w:r>
                  <w:r>
                    <w:rPr>
                      <w:rFonts w:hint="eastAsia"/>
                      <w:b w:val="0"/>
                      <w:bCs w:val="0"/>
                      <w:color w:val="auto"/>
                      <w:sz w:val="18"/>
                      <w:szCs w:val="18"/>
                      <w:vertAlign w:val="baseline"/>
                      <w:lang w:val="en-US" w:eastAsia="zh-CN"/>
                    </w:rPr>
                    <w:t>088</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10</w:t>
                  </w:r>
                </w:p>
              </w:tc>
              <w:tc>
                <w:tcPr>
                  <w:tcW w:w="1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rPr>
                  </w:pPr>
                </w:p>
              </w:tc>
              <w:tc>
                <w:tcPr>
                  <w:tcW w:w="864" w:type="dxa"/>
                  <w:vMerge w:val="continue"/>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000000"/>
                      <w:sz w:val="18"/>
                      <w:szCs w:val="18"/>
                      <w:highlight w:val="none"/>
                      <w:lang w:val="en-US" w:eastAsia="zh-CN"/>
                    </w:rPr>
                  </w:pPr>
                </w:p>
              </w:tc>
              <w:tc>
                <w:tcPr>
                  <w:tcW w:w="844" w:type="dxa"/>
                  <w:gridSpan w:val="2"/>
                  <w:tcBorders>
                    <w:tl2br w:val="nil"/>
                    <w:tr2bl w:val="nil"/>
                  </w:tcBorders>
                  <w:noWrap w:val="0"/>
                  <w:vAlign w:val="center"/>
                </w:tcPr>
                <w:p>
                  <w:pPr>
                    <w:pStyle w:val="29"/>
                    <w:adjustRightInd w:val="0"/>
                    <w:snapToGrid w:val="0"/>
                    <w:spacing w:line="240" w:lineRule="auto"/>
                    <w:ind w:left="0" w:leftChars="0" w:firstLine="0" w:firstLineChars="0"/>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cs="Times New Roman"/>
                      <w:color w:val="000000"/>
                      <w:sz w:val="18"/>
                      <w:szCs w:val="18"/>
                      <w:highlight w:val="none"/>
                      <w:lang w:val="en-US" w:eastAsia="zh-CN"/>
                    </w:rPr>
                    <w:t>其他</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w:t>
                  </w:r>
                </w:p>
              </w:tc>
              <w:tc>
                <w:tcPr>
                  <w:tcW w:w="16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b w:val="0"/>
                      <w:bCs w:val="0"/>
                      <w:color w:val="auto"/>
                      <w:sz w:val="18"/>
                      <w:szCs w:val="18"/>
                      <w:vertAlign w:val="baseline"/>
                      <w:lang w:val="en-US" w:eastAsia="zh-CN"/>
                    </w:rPr>
                  </w:pPr>
                  <w:r>
                    <w:rPr>
                      <w:rFonts w:hint="eastAsia"/>
                      <w:b w:val="0"/>
                      <w:bCs w:val="0"/>
                      <w:color w:val="auto"/>
                      <w:sz w:val="18"/>
                      <w:szCs w:val="18"/>
                      <w:vertAlign w:val="baseline"/>
                      <w:lang w:val="en-US" w:eastAsia="zh-CN"/>
                    </w:rPr>
                    <w:t>0.0022</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b w:val="0"/>
                      <w:bCs w:val="0"/>
                      <w:color w:val="auto"/>
                      <w:sz w:val="18"/>
                      <w:szCs w:val="18"/>
                      <w:vertAlign w:val="baseline"/>
                      <w:lang w:val="en-US" w:eastAsia="zh-CN"/>
                    </w:rPr>
                  </w:pPr>
                  <w:r>
                    <w:rPr>
                      <w:rFonts w:hint="eastAsia"/>
                      <w:b w:val="0"/>
                      <w:bCs w:val="0"/>
                      <w:color w:val="auto"/>
                      <w:sz w:val="18"/>
                      <w:szCs w:val="18"/>
                      <w:vertAlign w:val="baseline"/>
                      <w:lang w:val="en-US" w:eastAsia="zh-CN"/>
                    </w:rPr>
                    <w:t>2500</w:t>
                  </w:r>
                </w:p>
              </w:tc>
              <w:tc>
                <w:tcPr>
                  <w:tcW w:w="16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0.0000009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eastAsia="zh-CN"/>
                    </w:rPr>
                  </w:pPr>
                  <w:r>
                    <w:rPr>
                      <w:rFonts w:hint="eastAsia" w:cs="Times New Roman"/>
                      <w:color w:val="000000"/>
                      <w:sz w:val="18"/>
                      <w:szCs w:val="18"/>
                      <w:highlight w:val="none"/>
                      <w:lang w:val="en-US" w:eastAsia="zh-CN"/>
                    </w:rPr>
                    <w:t>2</w:t>
                  </w:r>
                </w:p>
              </w:tc>
              <w:tc>
                <w:tcPr>
                  <w:tcW w:w="1708" w:type="dxa"/>
                  <w:gridSpan w:val="3"/>
                  <w:tcBorders>
                    <w:tl2br w:val="nil"/>
                    <w:tr2bl w:val="nil"/>
                  </w:tcBorders>
                  <w:noWrap w:val="0"/>
                  <w:vAlign w:val="center"/>
                </w:tcPr>
                <w:p>
                  <w:pPr>
                    <w:widowControl/>
                    <w:jc w:val="center"/>
                    <w:textAlignment w:val="center"/>
                    <w:rPr>
                      <w:rFonts w:hint="default" w:ascii="Times New Roman" w:hAnsi="Times New Roman" w:eastAsia="宋体" w:cs="Times New Roman"/>
                      <w:color w:val="000000"/>
                      <w:sz w:val="18"/>
                      <w:szCs w:val="18"/>
                      <w:highlight w:val="none"/>
                    </w:rPr>
                  </w:pPr>
                  <w:r>
                    <w:rPr>
                      <w:rFonts w:hint="eastAsia" w:cs="Times New Roman"/>
                      <w:color w:val="auto"/>
                      <w:sz w:val="18"/>
                      <w:szCs w:val="18"/>
                      <w:lang w:val="en-US" w:eastAsia="zh-CN"/>
                    </w:rPr>
                    <w:t>Wd-40 防锈油</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w:t>
                  </w:r>
                </w:p>
              </w:tc>
              <w:tc>
                <w:tcPr>
                  <w:tcW w:w="168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0.008</w:t>
                  </w:r>
                </w:p>
              </w:tc>
              <w:tc>
                <w:tcPr>
                  <w:tcW w:w="1065"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2500</w:t>
                  </w:r>
                </w:p>
              </w:tc>
              <w:tc>
                <w:tcPr>
                  <w:tcW w:w="165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eastAsia="zh-CN"/>
                    </w:rPr>
                  </w:pPr>
                  <w:r>
                    <w:rPr>
                      <w:rFonts w:hint="eastAsia" w:cs="Times New Roman"/>
                      <w:color w:val="000000"/>
                      <w:sz w:val="18"/>
                      <w:szCs w:val="18"/>
                      <w:highlight w:val="none"/>
                      <w:lang w:val="en-US" w:eastAsia="zh-CN"/>
                    </w:rPr>
                    <w:t>3</w:t>
                  </w:r>
                </w:p>
              </w:tc>
              <w:tc>
                <w:tcPr>
                  <w:tcW w:w="1708" w:type="dxa"/>
                  <w:gridSpan w:val="3"/>
                  <w:tcBorders>
                    <w:tl2br w:val="nil"/>
                    <w:tr2bl w:val="nil"/>
                  </w:tcBorders>
                  <w:noWrap w:val="0"/>
                  <w:vAlign w:val="center"/>
                </w:tcPr>
                <w:p>
                  <w:pPr>
                    <w:widowControl/>
                    <w:jc w:val="center"/>
                    <w:textAlignment w:val="center"/>
                    <w:rPr>
                      <w:rFonts w:hint="default" w:ascii="Times New Roman" w:hAnsi="Times New Roman" w:eastAsia="宋体" w:cs="Times New Roman"/>
                      <w:color w:val="000000"/>
                      <w:sz w:val="18"/>
                      <w:szCs w:val="18"/>
                      <w:highlight w:val="none"/>
                    </w:rPr>
                  </w:pPr>
                  <w:r>
                    <w:rPr>
                      <w:rFonts w:hint="default" w:cs="Times New Roman"/>
                      <w:color w:val="auto"/>
                      <w:sz w:val="18"/>
                      <w:szCs w:val="18"/>
                      <w:lang w:val="en-US" w:eastAsia="zh-CN"/>
                    </w:rPr>
                    <w:t>MOBIL DTE 25</w:t>
                  </w:r>
                  <w:r>
                    <w:rPr>
                      <w:rFonts w:hint="eastAsia" w:cs="Times New Roman"/>
                      <w:color w:val="auto"/>
                      <w:sz w:val="18"/>
                      <w:szCs w:val="18"/>
                      <w:lang w:val="en-US" w:eastAsia="zh-CN"/>
                    </w:rPr>
                    <w:t>液压油</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w:t>
                  </w:r>
                </w:p>
              </w:tc>
              <w:tc>
                <w:tcPr>
                  <w:tcW w:w="168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0.73</w:t>
                  </w:r>
                </w:p>
              </w:tc>
              <w:tc>
                <w:tcPr>
                  <w:tcW w:w="1065"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2500</w:t>
                  </w:r>
                </w:p>
              </w:tc>
              <w:tc>
                <w:tcPr>
                  <w:tcW w:w="165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4</w:t>
                  </w:r>
                </w:p>
              </w:tc>
              <w:tc>
                <w:tcPr>
                  <w:tcW w:w="889" w:type="dxa"/>
                  <w:gridSpan w:val="2"/>
                  <w:vMerge w:val="restart"/>
                  <w:tcBorders>
                    <w:tl2br w:val="nil"/>
                    <w:tr2bl w:val="nil"/>
                  </w:tcBorders>
                  <w:noWrap w:val="0"/>
                  <w:vAlign w:val="center"/>
                </w:tcPr>
                <w:p>
                  <w:pPr>
                    <w:widowControl/>
                    <w:jc w:val="center"/>
                    <w:textAlignment w:val="center"/>
                    <w:rPr>
                      <w:rFonts w:hint="default" w:cs="Times New Roman"/>
                      <w:color w:val="auto"/>
                      <w:sz w:val="18"/>
                      <w:szCs w:val="18"/>
                      <w:lang w:val="en-US" w:eastAsia="zh-CN"/>
                    </w:rPr>
                  </w:pPr>
                  <w:r>
                    <w:rPr>
                      <w:rFonts w:hint="default" w:cs="Times New Roman"/>
                      <w:color w:val="auto"/>
                      <w:sz w:val="18"/>
                      <w:szCs w:val="18"/>
                      <w:lang w:val="en-US" w:eastAsia="zh-CN"/>
                    </w:rPr>
                    <w:t>顶针润滑油</w:t>
                  </w:r>
                </w:p>
              </w:tc>
              <w:tc>
                <w:tcPr>
                  <w:tcW w:w="819" w:type="dxa"/>
                  <w:tcBorders>
                    <w:tl2br w:val="nil"/>
                    <w:tr2bl w:val="nil"/>
                  </w:tcBorders>
                  <w:noWrap w:val="0"/>
                  <w:vAlign w:val="center"/>
                </w:tcPr>
                <w:p>
                  <w:pPr>
                    <w:widowControl/>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丁烷40%</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rPr>
                  </w:pPr>
                  <w:r>
                    <w:rPr>
                      <w:rFonts w:hint="eastAsia" w:cs="Times New Roman"/>
                      <w:color w:val="000000"/>
                      <w:sz w:val="18"/>
                      <w:szCs w:val="18"/>
                      <w:highlight w:val="none"/>
                      <w:lang w:val="en-US" w:eastAsia="zh-CN"/>
                    </w:rPr>
                    <w:t>106-97-8</w:t>
                  </w:r>
                </w:p>
              </w:tc>
              <w:tc>
                <w:tcPr>
                  <w:tcW w:w="168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cs="Times New Roman"/>
                      <w:color w:val="000000"/>
                      <w:sz w:val="18"/>
                      <w:szCs w:val="18"/>
                      <w:highlight w:val="none"/>
                      <w:lang w:val="en-US" w:eastAsia="zh-CN"/>
                    </w:rPr>
                  </w:pPr>
                  <w:r>
                    <w:rPr>
                      <w:rFonts w:hint="eastAsia" w:cs="Times New Roman"/>
                      <w:color w:val="000000"/>
                      <w:sz w:val="18"/>
                      <w:szCs w:val="18"/>
                      <w:highlight w:val="none"/>
                      <w:lang w:val="en-US" w:eastAsia="zh-CN"/>
                    </w:rPr>
                    <w:t>0.0048</w:t>
                  </w:r>
                </w:p>
              </w:tc>
              <w:tc>
                <w:tcPr>
                  <w:tcW w:w="1065"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10</w:t>
                  </w:r>
                </w:p>
              </w:tc>
              <w:tc>
                <w:tcPr>
                  <w:tcW w:w="165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cs="Times New Roman"/>
                      <w:color w:val="000000"/>
                      <w:sz w:val="18"/>
                      <w:szCs w:val="18"/>
                      <w:highlight w:val="none"/>
                      <w:lang w:val="en-US" w:eastAsia="zh-CN"/>
                    </w:rPr>
                  </w:pPr>
                </w:p>
              </w:tc>
              <w:tc>
                <w:tcPr>
                  <w:tcW w:w="889" w:type="dxa"/>
                  <w:gridSpan w:val="2"/>
                  <w:vMerge w:val="continue"/>
                  <w:tcBorders>
                    <w:tl2br w:val="nil"/>
                    <w:tr2bl w:val="nil"/>
                  </w:tcBorders>
                  <w:noWrap w:val="0"/>
                  <w:vAlign w:val="center"/>
                </w:tcPr>
                <w:p>
                  <w:pPr>
                    <w:widowControl/>
                    <w:jc w:val="center"/>
                    <w:textAlignment w:val="center"/>
                    <w:rPr>
                      <w:rFonts w:hint="default" w:cs="Times New Roman"/>
                      <w:color w:val="auto"/>
                      <w:sz w:val="18"/>
                      <w:szCs w:val="18"/>
                      <w:lang w:val="en-US" w:eastAsia="zh-CN"/>
                    </w:rPr>
                  </w:pPr>
                </w:p>
              </w:tc>
              <w:tc>
                <w:tcPr>
                  <w:tcW w:w="819" w:type="dxa"/>
                  <w:tcBorders>
                    <w:tl2br w:val="nil"/>
                    <w:tr2bl w:val="nil"/>
                  </w:tcBorders>
                  <w:noWrap w:val="0"/>
                  <w:vAlign w:val="center"/>
                </w:tcPr>
                <w:p>
                  <w:pPr>
                    <w:widowControl/>
                    <w:jc w:val="center"/>
                    <w:textAlignment w:val="center"/>
                    <w:rPr>
                      <w:rFonts w:hint="default" w:cs="Times New Roman"/>
                      <w:color w:val="auto"/>
                      <w:sz w:val="18"/>
                      <w:szCs w:val="18"/>
                      <w:lang w:val="en-US" w:eastAsia="zh-CN"/>
                    </w:rPr>
                  </w:pPr>
                  <w:r>
                    <w:rPr>
                      <w:rFonts w:hint="eastAsia" w:cs="Times New Roman"/>
                      <w:color w:val="auto"/>
                      <w:sz w:val="18"/>
                      <w:szCs w:val="18"/>
                      <w:lang w:val="en-US" w:eastAsia="zh-CN"/>
                    </w:rPr>
                    <w:t>其他</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w:t>
                  </w:r>
                </w:p>
              </w:tc>
              <w:tc>
                <w:tcPr>
                  <w:tcW w:w="168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cs="Times New Roman"/>
                      <w:color w:val="000000"/>
                      <w:sz w:val="18"/>
                      <w:szCs w:val="18"/>
                      <w:highlight w:val="none"/>
                      <w:lang w:val="en-US" w:eastAsia="zh-CN"/>
                    </w:rPr>
                  </w:pPr>
                  <w:r>
                    <w:rPr>
                      <w:rFonts w:hint="eastAsia" w:cs="Times New Roman"/>
                      <w:color w:val="000000"/>
                      <w:sz w:val="18"/>
                      <w:szCs w:val="18"/>
                      <w:highlight w:val="none"/>
                      <w:lang w:val="en-US" w:eastAsia="zh-CN"/>
                    </w:rPr>
                    <w:t>0.0072</w:t>
                  </w:r>
                </w:p>
              </w:tc>
              <w:tc>
                <w:tcPr>
                  <w:tcW w:w="1065"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2500</w:t>
                  </w:r>
                </w:p>
              </w:tc>
              <w:tc>
                <w:tcPr>
                  <w:tcW w:w="165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cs="Times New Roman"/>
                      <w:color w:val="000000"/>
                      <w:sz w:val="18"/>
                      <w:szCs w:val="18"/>
                      <w:highlight w:val="none"/>
                      <w:lang w:val="en-US" w:eastAsia="zh-CN"/>
                    </w:rPr>
                  </w:pPr>
                  <w:r>
                    <w:rPr>
                      <w:rFonts w:hint="eastAsia" w:cs="Times New Roman"/>
                      <w:color w:val="000000"/>
                      <w:sz w:val="18"/>
                      <w:szCs w:val="18"/>
                      <w:highlight w:val="none"/>
                      <w:lang w:val="en-US" w:eastAsia="zh-CN"/>
                    </w:rPr>
                    <w:t>5</w:t>
                  </w:r>
                </w:p>
              </w:tc>
              <w:tc>
                <w:tcPr>
                  <w:tcW w:w="1708" w:type="dxa"/>
                  <w:gridSpan w:val="3"/>
                  <w:tcBorders>
                    <w:tl2br w:val="nil"/>
                    <w:tr2bl w:val="nil"/>
                  </w:tcBorders>
                  <w:noWrap w:val="0"/>
                  <w:vAlign w:val="center"/>
                </w:tcPr>
                <w:p>
                  <w:pPr>
                    <w:widowControl/>
                    <w:jc w:val="center"/>
                    <w:textAlignment w:val="center"/>
                    <w:rPr>
                      <w:rFonts w:hint="eastAsia" w:cs="Times New Roman"/>
                      <w:color w:val="auto"/>
                      <w:sz w:val="18"/>
                      <w:szCs w:val="18"/>
                      <w:lang w:val="en-US" w:eastAsia="zh-CN"/>
                    </w:rPr>
                  </w:pPr>
                  <w:r>
                    <w:rPr>
                      <w:rFonts w:hint="eastAsia" w:cs="Times New Roman"/>
                      <w:color w:val="auto"/>
                      <w:sz w:val="18"/>
                      <w:szCs w:val="18"/>
                      <w:lang w:val="en-US" w:eastAsia="zh-CN"/>
                    </w:rPr>
                    <w:t>废液压油</w:t>
                  </w:r>
                </w:p>
              </w:tc>
              <w:tc>
                <w:tcPr>
                  <w:tcW w:w="987"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cs="Times New Roman"/>
                      <w:color w:val="000000"/>
                      <w:sz w:val="18"/>
                      <w:szCs w:val="18"/>
                      <w:highlight w:val="none"/>
                      <w:lang w:val="en-US" w:eastAsia="zh-CN"/>
                    </w:rPr>
                  </w:pPr>
                  <w:r>
                    <w:rPr>
                      <w:rFonts w:hint="eastAsia" w:cs="Times New Roman"/>
                      <w:color w:val="000000"/>
                      <w:sz w:val="18"/>
                      <w:szCs w:val="18"/>
                      <w:highlight w:val="none"/>
                      <w:lang w:val="en-US" w:eastAsia="zh-CN"/>
                    </w:rPr>
                    <w:t>/</w:t>
                  </w:r>
                </w:p>
              </w:tc>
              <w:tc>
                <w:tcPr>
                  <w:tcW w:w="168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cs="Times New Roman"/>
                      <w:color w:val="000000"/>
                      <w:sz w:val="18"/>
                      <w:szCs w:val="18"/>
                      <w:highlight w:val="none"/>
                      <w:lang w:val="en-US" w:eastAsia="zh-CN"/>
                    </w:rPr>
                  </w:pPr>
                  <w:r>
                    <w:rPr>
                      <w:rFonts w:hint="eastAsia" w:cs="Times New Roman"/>
                      <w:color w:val="000000"/>
                      <w:sz w:val="18"/>
                      <w:szCs w:val="18"/>
                      <w:highlight w:val="none"/>
                      <w:lang w:val="en-US" w:eastAsia="zh-CN"/>
                    </w:rPr>
                    <w:t>1</w:t>
                  </w:r>
                </w:p>
              </w:tc>
              <w:tc>
                <w:tcPr>
                  <w:tcW w:w="1065"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200</w:t>
                  </w:r>
                </w:p>
              </w:tc>
              <w:tc>
                <w:tcPr>
                  <w:tcW w:w="165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3" w:type="dxa"/>
                  <w:gridSpan w:val="7"/>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rPr>
                    <w:t>项目Q值∑</w:t>
                  </w:r>
                </w:p>
              </w:tc>
              <w:tc>
                <w:tcPr>
                  <w:tcW w:w="1654"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color w:val="000000"/>
                      <w:sz w:val="18"/>
                      <w:szCs w:val="18"/>
                      <w:highlight w:val="none"/>
                      <w:lang w:val="en-US" w:eastAsia="zh-CN"/>
                    </w:rPr>
                  </w:pPr>
                  <w:r>
                    <w:rPr>
                      <w:rFonts w:hint="eastAsia" w:cs="Times New Roman"/>
                      <w:color w:val="000000"/>
                      <w:sz w:val="18"/>
                      <w:szCs w:val="18"/>
                      <w:highlight w:val="none"/>
                      <w:lang w:val="en-US" w:eastAsia="zh-CN"/>
                    </w:rPr>
                    <w:t>0.0067</w:t>
                  </w:r>
                </w:p>
              </w:tc>
            </w:tr>
          </w:tbl>
          <w:p>
            <w:pPr>
              <w:pStyle w:val="29"/>
              <w:keepNext w:val="0"/>
              <w:keepLines w:val="0"/>
              <w:pageBreakBefore w:val="0"/>
              <w:widowControl w:val="0"/>
              <w:kinsoku/>
              <w:wordWrap/>
              <w:overflowPunct/>
              <w:topLinePunct w:val="0"/>
              <w:autoSpaceDE/>
              <w:autoSpaceDN/>
              <w:bidi w:val="0"/>
              <w:adjustRightInd/>
              <w:snapToGrid/>
              <w:spacing w:before="0" w:line="360" w:lineRule="auto"/>
              <w:ind w:right="0" w:firstLine="420" w:firstLineChars="200"/>
              <w:jc w:val="both"/>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color w:val="000000"/>
                <w:kern w:val="0"/>
                <w:sz w:val="21"/>
                <w:szCs w:val="21"/>
                <w:highlight w:val="none"/>
              </w:rPr>
              <w:t>由</w:t>
            </w:r>
            <w:r>
              <w:rPr>
                <w:rFonts w:hint="eastAsia" w:ascii="Times New Roman" w:hAnsi="Times New Roman" w:cs="Times New Roman"/>
                <w:color w:val="000000"/>
                <w:kern w:val="0"/>
                <w:sz w:val="21"/>
                <w:szCs w:val="21"/>
                <w:highlight w:val="none"/>
                <w:lang w:val="en-US" w:eastAsia="zh-CN"/>
              </w:rPr>
              <w:t>上</w:t>
            </w:r>
            <w:r>
              <w:rPr>
                <w:rFonts w:hint="default" w:ascii="Times New Roman" w:hAnsi="Times New Roman" w:eastAsia="宋体" w:cs="Times New Roman"/>
                <w:color w:val="000000"/>
                <w:kern w:val="0"/>
                <w:sz w:val="21"/>
                <w:szCs w:val="21"/>
                <w:highlight w:val="none"/>
              </w:rPr>
              <w:t>表可知，本项目Q＜1。</w:t>
            </w:r>
          </w:p>
          <w:p>
            <w:pPr>
              <w:pStyle w:val="29"/>
              <w:keepNext w:val="0"/>
              <w:keepLines w:val="0"/>
              <w:pageBreakBefore w:val="0"/>
              <w:kinsoku/>
              <w:wordWrap/>
              <w:overflowPunct/>
              <w:topLinePunct w:val="0"/>
              <w:bidi w:val="0"/>
              <w:adjustRightInd/>
              <w:snapToGrid/>
              <w:spacing w:line="240" w:lineRule="auto"/>
              <w:ind w:firstLine="482"/>
              <w:rPr>
                <w:rFonts w:hint="default" w:ascii="Times New Roman" w:hAnsi="Times New Roman" w:eastAsia="宋体" w:cs="Times New Roman"/>
                <w:b/>
                <w:bCs/>
                <w:sz w:val="21"/>
                <w:szCs w:val="21"/>
                <w:highlight w:val="yellow"/>
              </w:rPr>
            </w:pPr>
            <w:r>
              <w:rPr>
                <w:rFonts w:hint="default" w:ascii="Times New Roman" w:hAnsi="Times New Roman" w:eastAsia="宋体" w:cs="Times New Roman"/>
                <w:b/>
                <w:bCs/>
                <w:sz w:val="21"/>
                <w:szCs w:val="21"/>
                <w:highlight w:val="none"/>
              </w:rPr>
              <w:t>表</w:t>
            </w:r>
            <w:r>
              <w:rPr>
                <w:rFonts w:hint="eastAsia" w:ascii="Times New Roman" w:hAnsi="Times New Roman" w:eastAsia="宋体" w:cs="Times New Roman"/>
                <w:b/>
                <w:bCs/>
                <w:sz w:val="21"/>
                <w:szCs w:val="21"/>
                <w:highlight w:val="none"/>
                <w:lang w:val="en-US" w:eastAsia="zh-CN"/>
              </w:rPr>
              <w:t>4-</w:t>
            </w:r>
            <w:r>
              <w:rPr>
                <w:rFonts w:hint="eastAsia" w:ascii="Times New Roman" w:hAnsi="Times New Roman" w:cs="Times New Roman"/>
                <w:b/>
                <w:bCs/>
                <w:sz w:val="21"/>
                <w:szCs w:val="21"/>
                <w:highlight w:val="none"/>
                <w:lang w:val="en-US" w:eastAsia="zh-CN"/>
              </w:rPr>
              <w:t>26</w:t>
            </w:r>
            <w:r>
              <w:rPr>
                <w:rFonts w:hint="default" w:ascii="Times New Roman" w:hAnsi="Times New Roman" w:eastAsia="宋体" w:cs="Times New Roman"/>
                <w:b/>
                <w:bCs/>
                <w:sz w:val="21"/>
                <w:szCs w:val="21"/>
                <w:highlight w:val="none"/>
              </w:rPr>
              <w:t xml:space="preserve">  建设项目环境风险识别表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32"/>
              <w:gridCol w:w="919"/>
              <w:gridCol w:w="1413"/>
              <w:gridCol w:w="1129"/>
              <w:gridCol w:w="1049"/>
              <w:gridCol w:w="1122"/>
              <w:gridCol w:w="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序号</w:t>
                  </w:r>
                </w:p>
              </w:tc>
              <w:tc>
                <w:tcPr>
                  <w:tcW w:w="93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危险单元</w:t>
                  </w:r>
                </w:p>
              </w:tc>
              <w:tc>
                <w:tcPr>
                  <w:tcW w:w="91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风险源</w:t>
                  </w:r>
                </w:p>
              </w:tc>
              <w:tc>
                <w:tcPr>
                  <w:tcW w:w="141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主要危险物质</w:t>
                  </w:r>
                </w:p>
              </w:tc>
              <w:tc>
                <w:tcPr>
                  <w:tcW w:w="112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环境风险类型</w:t>
                  </w:r>
                </w:p>
              </w:tc>
              <w:tc>
                <w:tcPr>
                  <w:tcW w:w="104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环境影响途径</w:t>
                  </w:r>
                </w:p>
              </w:tc>
              <w:tc>
                <w:tcPr>
                  <w:tcW w:w="112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可能受影响的环境敏感目标</w:t>
                  </w:r>
                </w:p>
              </w:tc>
              <w:tc>
                <w:tcPr>
                  <w:tcW w:w="71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931" w:type="dxa"/>
                  <w:tcBorders>
                    <w:tl2br w:val="nil"/>
                    <w:tr2bl w:val="nil"/>
                  </w:tcBorders>
                  <w:noWrap w:val="0"/>
                  <w:vAlign w:val="center"/>
                </w:tcPr>
                <w:p>
                  <w:pPr>
                    <w:widowControl/>
                    <w:jc w:val="center"/>
                    <w:rPr>
                      <w:rFonts w:hint="default" w:ascii="Times New Roman" w:hAnsi="Times New Roman" w:eastAsia="宋体" w:cs="Times New Roman"/>
                      <w:sz w:val="18"/>
                      <w:szCs w:val="18"/>
                      <w:highlight w:val="none"/>
                    </w:rPr>
                  </w:pPr>
                  <w:r>
                    <w:rPr>
                      <w:rFonts w:hint="eastAsia" w:ascii="宋体" w:hAnsi="宋体"/>
                      <w:kern w:val="0"/>
                      <w:sz w:val="18"/>
                      <w:szCs w:val="18"/>
                      <w:lang w:val="en-US" w:eastAsia="zh-CN"/>
                    </w:rPr>
                    <w:t>生产</w:t>
                  </w:r>
                  <w:r>
                    <w:rPr>
                      <w:rFonts w:hint="eastAsia" w:ascii="宋体" w:hAnsi="宋体" w:eastAsia="宋体"/>
                      <w:kern w:val="0"/>
                      <w:sz w:val="18"/>
                      <w:szCs w:val="18"/>
                    </w:rPr>
                    <w:t>厂房</w:t>
                  </w:r>
                </w:p>
              </w:tc>
              <w:tc>
                <w:tcPr>
                  <w:tcW w:w="91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生产设备、</w:t>
                  </w:r>
                  <w:r>
                    <w:rPr>
                      <w:rFonts w:hint="eastAsia" w:cs="Times New Roman"/>
                      <w:sz w:val="18"/>
                      <w:szCs w:val="18"/>
                      <w:highlight w:val="none"/>
                      <w:lang w:val="en-US" w:eastAsia="zh-CN"/>
                    </w:rPr>
                    <w:t>气雾罐</w:t>
                  </w:r>
                </w:p>
              </w:tc>
              <w:tc>
                <w:tcPr>
                  <w:tcW w:w="141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cs="Times New Roman"/>
                      <w:sz w:val="18"/>
                      <w:szCs w:val="18"/>
                      <w:highlight w:val="none"/>
                      <w:lang w:val="en-US" w:eastAsia="zh-CN"/>
                    </w:rPr>
                    <w:t>液压油，</w:t>
                  </w:r>
                  <w:r>
                    <w:rPr>
                      <w:rFonts w:hint="eastAsia" w:ascii="Times New Roman" w:hAnsi="Times New Roman" w:cs="Times New Roman"/>
                      <w:b w:val="0"/>
                      <w:bCs w:val="0"/>
                      <w:sz w:val="18"/>
                      <w:szCs w:val="18"/>
                      <w:vertAlign w:val="baseline"/>
                      <w:lang w:val="en-US" w:eastAsia="zh-CN"/>
                    </w:rPr>
                    <w:t>润滑油</w:t>
                  </w:r>
                </w:p>
              </w:tc>
              <w:tc>
                <w:tcPr>
                  <w:tcW w:w="112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泄漏、火灾、爆炸</w:t>
                  </w:r>
                </w:p>
              </w:tc>
              <w:tc>
                <w:tcPr>
                  <w:tcW w:w="104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大气、地下水</w:t>
                  </w:r>
                </w:p>
              </w:tc>
              <w:tc>
                <w:tcPr>
                  <w:tcW w:w="1121" w:type="dxa"/>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周边居民、地表水、地下水等</w:t>
                  </w:r>
                </w:p>
              </w:tc>
              <w:tc>
                <w:tcPr>
                  <w:tcW w:w="71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sz w:val="18"/>
                      <w:szCs w:val="18"/>
                      <w:highlight w:val="none"/>
                      <w:lang w:eastAsia="zh-CN"/>
                    </w:rPr>
                  </w:pPr>
                  <w:r>
                    <w:rPr>
                      <w:rFonts w:hint="eastAsia" w:eastAsia="宋体" w:cs="Times New Roman"/>
                      <w:sz w:val="18"/>
                      <w:szCs w:val="18"/>
                      <w:highlight w:val="none"/>
                      <w:lang w:val="en-US" w:eastAsia="zh-CN"/>
                    </w:rPr>
                    <w:t>2</w:t>
                  </w:r>
                </w:p>
              </w:tc>
              <w:tc>
                <w:tcPr>
                  <w:tcW w:w="931" w:type="dxa"/>
                  <w:tcBorders>
                    <w:tl2br w:val="nil"/>
                    <w:tr2bl w:val="nil"/>
                  </w:tcBorders>
                  <w:noWrap w:val="0"/>
                  <w:vAlign w:val="center"/>
                </w:tcPr>
                <w:p>
                  <w:pPr>
                    <w:widowControl/>
                    <w:jc w:val="center"/>
                    <w:rPr>
                      <w:rFonts w:hint="default" w:ascii="Times New Roman" w:hAnsi="Times New Roman" w:eastAsia="宋体" w:cs="Times New Roman"/>
                      <w:sz w:val="18"/>
                      <w:szCs w:val="18"/>
                      <w:highlight w:val="none"/>
                    </w:rPr>
                  </w:pPr>
                  <w:r>
                    <w:rPr>
                      <w:rFonts w:hint="default" w:ascii="Times New Roman" w:hAnsi="Times New Roman" w:cs="Times New Roman"/>
                      <w:sz w:val="18"/>
                      <w:szCs w:val="18"/>
                    </w:rPr>
                    <w:t>原料暂存区</w:t>
                  </w:r>
                </w:p>
              </w:tc>
              <w:tc>
                <w:tcPr>
                  <w:tcW w:w="91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sz w:val="18"/>
                      <w:szCs w:val="18"/>
                    </w:rPr>
                    <w:t>物料包装桶</w:t>
                  </w:r>
                  <w:r>
                    <w:rPr>
                      <w:rFonts w:hint="default" w:ascii="Times New Roman" w:hAnsi="Times New Roman" w:eastAsia="宋体" w:cs="Times New Roman"/>
                      <w:sz w:val="18"/>
                      <w:szCs w:val="18"/>
                      <w:highlight w:val="none"/>
                    </w:rPr>
                    <w:t>、</w:t>
                  </w:r>
                  <w:r>
                    <w:rPr>
                      <w:rFonts w:hint="eastAsia" w:cs="Times New Roman"/>
                      <w:sz w:val="18"/>
                      <w:szCs w:val="18"/>
                      <w:highlight w:val="none"/>
                      <w:lang w:val="en-US" w:eastAsia="zh-CN"/>
                    </w:rPr>
                    <w:t>气雾罐</w:t>
                  </w:r>
                </w:p>
              </w:tc>
              <w:tc>
                <w:tcPr>
                  <w:tcW w:w="141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lang w:val="en-US"/>
                    </w:rPr>
                  </w:pPr>
                  <w:r>
                    <w:rPr>
                      <w:rFonts w:hint="eastAsia" w:cs="Times New Roman"/>
                      <w:sz w:val="18"/>
                      <w:szCs w:val="18"/>
                      <w:highlight w:val="none"/>
                      <w:lang w:val="en-US" w:eastAsia="zh-CN"/>
                    </w:rPr>
                    <w:t>液压油，</w:t>
                  </w:r>
                  <w:r>
                    <w:rPr>
                      <w:rFonts w:hint="eastAsia" w:ascii="Times New Roman" w:hAnsi="Times New Roman" w:cs="Times New Roman"/>
                      <w:b w:val="0"/>
                      <w:bCs w:val="0"/>
                      <w:sz w:val="18"/>
                      <w:szCs w:val="18"/>
                      <w:vertAlign w:val="baseline"/>
                      <w:lang w:val="en-US" w:eastAsia="zh-CN"/>
                    </w:rPr>
                    <w:t>防锈剂，润滑油</w:t>
                  </w:r>
                </w:p>
              </w:tc>
              <w:tc>
                <w:tcPr>
                  <w:tcW w:w="112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泄漏、火灾、爆炸</w:t>
                  </w:r>
                </w:p>
              </w:tc>
              <w:tc>
                <w:tcPr>
                  <w:tcW w:w="104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cs="Times New Roman"/>
                      <w:sz w:val="18"/>
                      <w:szCs w:val="18"/>
                      <w:highlight w:val="none"/>
                      <w:lang w:val="en-US" w:eastAsia="zh-CN"/>
                    </w:rPr>
                    <w:t>大气、地下水</w:t>
                  </w:r>
                </w:p>
              </w:tc>
              <w:tc>
                <w:tcPr>
                  <w:tcW w:w="112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p>
              </w:tc>
              <w:tc>
                <w:tcPr>
                  <w:tcW w:w="71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sz w:val="18"/>
                      <w:szCs w:val="18"/>
                      <w:highlight w:val="none"/>
                      <w:lang w:eastAsia="zh-CN"/>
                    </w:rPr>
                  </w:pPr>
                  <w:r>
                    <w:rPr>
                      <w:rFonts w:hint="eastAsia" w:eastAsia="宋体" w:cs="Times New Roman"/>
                      <w:sz w:val="18"/>
                      <w:szCs w:val="18"/>
                      <w:highlight w:val="none"/>
                      <w:lang w:val="en-US" w:eastAsia="zh-CN"/>
                    </w:rPr>
                    <w:t>3</w:t>
                  </w:r>
                </w:p>
              </w:tc>
              <w:tc>
                <w:tcPr>
                  <w:tcW w:w="93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cs="Times New Roman"/>
                      <w:sz w:val="18"/>
                      <w:szCs w:val="18"/>
                      <w:lang w:val="en-US" w:eastAsia="zh-CN"/>
                    </w:rPr>
                    <w:t>危废暂存区</w:t>
                  </w:r>
                </w:p>
              </w:tc>
              <w:tc>
                <w:tcPr>
                  <w:tcW w:w="91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sz w:val="18"/>
                      <w:szCs w:val="18"/>
                    </w:rPr>
                    <w:t>物料包装桶</w:t>
                  </w:r>
                </w:p>
              </w:tc>
              <w:tc>
                <w:tcPr>
                  <w:tcW w:w="141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cs="Times New Roman"/>
                      <w:sz w:val="18"/>
                      <w:szCs w:val="18"/>
                      <w:highlight w:val="none"/>
                      <w:lang w:val="en-US" w:eastAsia="zh-CN"/>
                    </w:rPr>
                    <w:t>废液压油，废油桶，废化学品容器</w:t>
                  </w:r>
                </w:p>
              </w:tc>
              <w:tc>
                <w:tcPr>
                  <w:tcW w:w="112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泄漏、火灾</w:t>
                  </w:r>
                </w:p>
              </w:tc>
              <w:tc>
                <w:tcPr>
                  <w:tcW w:w="104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大气、地下水</w:t>
                  </w:r>
                </w:p>
              </w:tc>
              <w:tc>
                <w:tcPr>
                  <w:tcW w:w="112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p>
              </w:tc>
              <w:tc>
                <w:tcPr>
                  <w:tcW w:w="71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sz w:val="18"/>
                      <w:szCs w:val="18"/>
                      <w:highlight w:val="none"/>
                      <w:lang w:eastAsia="zh-CN"/>
                    </w:rPr>
                  </w:pPr>
                  <w:r>
                    <w:rPr>
                      <w:rFonts w:hint="eastAsia" w:eastAsia="宋体" w:cs="Times New Roman"/>
                      <w:sz w:val="18"/>
                      <w:szCs w:val="18"/>
                      <w:highlight w:val="none"/>
                      <w:lang w:val="en-US" w:eastAsia="zh-CN"/>
                    </w:rPr>
                    <w:t>4</w:t>
                  </w:r>
                </w:p>
              </w:tc>
              <w:tc>
                <w:tcPr>
                  <w:tcW w:w="93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lang w:eastAsia="zh-CN"/>
                    </w:rPr>
                  </w:pPr>
                  <w:r>
                    <w:rPr>
                      <w:rFonts w:hint="eastAsia" w:cs="Times New Roman"/>
                      <w:sz w:val="18"/>
                      <w:szCs w:val="18"/>
                      <w:lang w:val="en-US" w:eastAsia="zh-CN"/>
                    </w:rPr>
                    <w:t>废气处理装置</w:t>
                  </w:r>
                </w:p>
              </w:tc>
              <w:tc>
                <w:tcPr>
                  <w:tcW w:w="91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lang w:eastAsia="zh-CN"/>
                    </w:rPr>
                  </w:pPr>
                  <w:r>
                    <w:rPr>
                      <w:rFonts w:hint="eastAsia"/>
                      <w:sz w:val="18"/>
                      <w:szCs w:val="18"/>
                      <w:lang w:val="en-US" w:eastAsia="zh-CN"/>
                    </w:rPr>
                    <w:t>废气</w:t>
                  </w:r>
                </w:p>
              </w:tc>
              <w:tc>
                <w:tcPr>
                  <w:tcW w:w="141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lang w:val="en-US" w:eastAsia="zh-CN"/>
                    </w:rPr>
                  </w:pPr>
                  <w:r>
                    <w:rPr>
                      <w:rFonts w:hint="default"/>
                      <w:sz w:val="18"/>
                      <w:szCs w:val="18"/>
                    </w:rPr>
                    <w:t>非甲烷总烃</w:t>
                  </w:r>
                </w:p>
              </w:tc>
              <w:tc>
                <w:tcPr>
                  <w:tcW w:w="112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cs="Times New Roman"/>
                      <w:sz w:val="18"/>
                      <w:szCs w:val="18"/>
                      <w:highlight w:val="none"/>
                      <w:lang w:val="en-US" w:eastAsia="zh-CN"/>
                    </w:rPr>
                    <w:t>泄漏</w:t>
                  </w:r>
                </w:p>
              </w:tc>
              <w:tc>
                <w:tcPr>
                  <w:tcW w:w="1048"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eastAsia" w:cs="Times New Roman"/>
                      <w:sz w:val="18"/>
                      <w:szCs w:val="18"/>
                      <w:highlight w:val="none"/>
                      <w:lang w:val="en-US" w:eastAsia="zh-CN"/>
                    </w:rPr>
                    <w:t>大气</w:t>
                  </w:r>
                </w:p>
              </w:tc>
              <w:tc>
                <w:tcPr>
                  <w:tcW w:w="112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p>
              </w:tc>
              <w:tc>
                <w:tcPr>
                  <w:tcW w:w="719"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为防止发生化学品泄漏、火灾等事故引起的次生环境污染，企业拟采取以下风险防范措施：</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①企业总平面布置严格遵守国家颁布的有关防火和安全等方面规范和规定，采取原料存放区、生产车间与办公区分离，设置明显的标志；</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②原料存放区设专人管理和定期检查，装卸和搬运时，轻装轻卸</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做到干燥、阴凉、通风，地面防潮、防渗；液体原料存放在专用托盘中，一旦发生泄漏，能控制在托盘内；项目在生产过程中产生的废包材、标签等，遇明火易发生火灾，存储区设置明显禁止明火的警示标识，并在厂区内配备完善的火灾报警系统、消防系统；</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③加强对化学品储存及使用的管理，管理人员必须进行安全教育，经考试合格和实习合格后由公司主管部门发给安全作业证才能上岗操作；化学品入库前必须进行检查，发现问题及时处理</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企业应加强设备管理，确保设备完好。制定操作管理制度，工作人员培训上岗，规范生产操作，并定期检查各设备及运行情况，防止“跑、冒、滴、漏”的发生。制定安全生产制度，严格按照程序生产，确保安全生产；加强员工规范操作培训，提高操作人员的防范意识，非操作人员禁止进入生产区域</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⑤企业</w:t>
            </w:r>
            <w:r>
              <w:rPr>
                <w:rFonts w:hint="default" w:ascii="Times New Roman" w:hAnsi="Times New Roman" w:eastAsia="宋体" w:cs="Times New Roman"/>
                <w:color w:val="auto"/>
                <w:sz w:val="21"/>
                <w:szCs w:val="21"/>
                <w:highlight w:val="none"/>
                <w:lang w:eastAsia="zh-CN"/>
              </w:rPr>
              <w:t>危废暂存场所</w:t>
            </w:r>
            <w:r>
              <w:rPr>
                <w:rFonts w:hint="default" w:ascii="Times New Roman" w:hAnsi="Times New Roman" w:eastAsia="宋体" w:cs="Times New Roman"/>
                <w:color w:val="auto"/>
                <w:sz w:val="21"/>
                <w:szCs w:val="21"/>
                <w:highlight w:val="none"/>
              </w:rPr>
              <w:t>按照《危险废物贮存污染控制标准》（GB 18597-2001）（2013年修订）建设管理，设置防风、防雨、防晒、防渗等措施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项目产生的危险固废进行科学的分类收集；对危废进行规范的贮存和运送；危废转交及运送过程中，严格执行《危险废物转移联单管理办法》中的相关条款，确保危废安全转移运输</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auto"/>
                <w:sz w:val="21"/>
                <w:szCs w:val="21"/>
                <w:highlight w:val="none"/>
              </w:rPr>
              <w:t>⑥在雨污</w:t>
            </w:r>
            <w:r>
              <w:rPr>
                <w:rFonts w:hint="default" w:ascii="Times New Roman" w:hAnsi="Times New Roman" w:eastAsia="宋体" w:cs="Times New Roman"/>
                <w:color w:val="auto"/>
                <w:sz w:val="21"/>
                <w:szCs w:val="21"/>
                <w:highlight w:val="none"/>
                <w:lang w:val="en-US" w:eastAsia="zh-CN"/>
              </w:rPr>
              <w:t>水排放</w:t>
            </w:r>
            <w:r>
              <w:rPr>
                <w:rFonts w:hint="default" w:ascii="Times New Roman" w:hAnsi="Times New Roman" w:eastAsia="宋体" w:cs="Times New Roman"/>
                <w:color w:val="auto"/>
                <w:sz w:val="21"/>
                <w:szCs w:val="21"/>
                <w:highlight w:val="none"/>
              </w:rPr>
              <w:t>口设置可控的截留措</w:t>
            </w:r>
            <w:r>
              <w:rPr>
                <w:rFonts w:hint="default" w:ascii="Times New Roman" w:hAnsi="Times New Roman" w:eastAsia="宋体" w:cs="Times New Roman"/>
                <w:color w:val="000000" w:themeColor="text1"/>
                <w:sz w:val="21"/>
                <w:szCs w:val="21"/>
                <w:highlight w:val="none"/>
                <w14:textFill>
                  <w14:solidFill>
                    <w14:schemeClr w14:val="tx1"/>
                  </w14:solidFill>
                </w14:textFill>
              </w:rPr>
              <w:t>施，</w:t>
            </w:r>
            <w:r>
              <w:rPr>
                <w:rFonts w:hint="eastAsia" w:cs="Times New Roman"/>
                <w:color w:val="000000" w:themeColor="text1"/>
                <w:sz w:val="21"/>
                <w:szCs w:val="21"/>
                <w:highlight w:val="none"/>
                <w:lang w:val="en-US" w:eastAsia="zh-CN"/>
                <w14:textFill>
                  <w14:solidFill>
                    <w14:schemeClr w14:val="tx1"/>
                  </w14:solidFill>
                </w14:textFill>
              </w:rPr>
              <w:t>安装应急阀，</w:t>
            </w:r>
            <w:r>
              <w:rPr>
                <w:rFonts w:hint="default" w:ascii="Times New Roman" w:hAnsi="Times New Roman" w:eastAsia="宋体" w:cs="Times New Roman"/>
                <w:color w:val="000000" w:themeColor="text1"/>
                <w:sz w:val="21"/>
                <w:szCs w:val="21"/>
                <w:highlight w:val="none"/>
                <w14:textFill>
                  <w14:solidFill>
                    <w14:schemeClr w14:val="tx1"/>
                  </w14:solidFill>
                </w14:textFill>
              </w:rPr>
              <w:t>以防事故状态下，废水经管道外流至外环境造成污染</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完善对废气处理设施的运行，维护及检修记录，并设置符合安全生产、事故防范的规定。</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 8 \* GB3 \* MERGEFORMAT </w:instrText>
            </w:r>
            <w:r>
              <w:rPr>
                <w:rFonts w:hint="default" w:ascii="Times New Roman" w:hAnsi="Times New Roman" w:eastAsia="宋体" w:cs="Times New Roman"/>
                <w:color w:val="auto"/>
                <w:sz w:val="21"/>
                <w:szCs w:val="21"/>
                <w:highlight w:val="none"/>
              </w:rPr>
              <w:fldChar w:fldCharType="separate"/>
            </w:r>
            <w:r>
              <w:rPr>
                <w:color w:val="auto"/>
              </w:rPr>
              <w:t>⑧</w:t>
            </w:r>
            <w:r>
              <w:rPr>
                <w:rFonts w:hint="default" w:ascii="Times New Roman" w:hAnsi="Times New Roman" w:eastAsia="宋体" w:cs="Times New Roman"/>
                <w:color w:val="auto"/>
                <w:sz w:val="21"/>
                <w:szCs w:val="21"/>
                <w:highlight w:val="none"/>
              </w:rPr>
              <w:fldChar w:fldCharType="end"/>
            </w:r>
            <w:r>
              <w:rPr>
                <w:rFonts w:hint="eastAsia" w:ascii="Times New Roman" w:hAnsi="Times New Roman" w:eastAsia="宋体" w:cs="Times New Roman"/>
                <w:color w:val="auto"/>
                <w:kern w:val="0"/>
                <w:sz w:val="21"/>
                <w:szCs w:val="21"/>
                <w:highlight w:val="none"/>
                <w:lang w:val="en-US" w:eastAsia="zh-CN" w:bidi="ar-SA"/>
              </w:rPr>
              <w:t>及时编制突发环境事件应急预案，组建应急小组，配备灭火器、黄沙等应急物资。员工定期开展应急演练和培训，提高企业突发环境事件应急能力。</w:t>
            </w:r>
          </w:p>
          <w:p>
            <w:pPr>
              <w:pStyle w:val="23"/>
              <w:pageBreakBefore w:val="0"/>
              <w:widowControl w:val="0"/>
              <w:kinsoku/>
              <w:wordWrap/>
              <w:overflowPunct/>
              <w:topLinePunct w:val="0"/>
              <w:bidi w:val="0"/>
              <w:adjustRightInd/>
              <w:spacing w:line="360" w:lineRule="auto"/>
              <w:ind w:firstLine="420" w:firstLineChars="200"/>
              <w:rPr>
                <w:rFonts w:ascii="Times New Roman" w:cs="Times New Roman"/>
                <w:color w:val="auto"/>
                <w:sz w:val="21"/>
                <w:szCs w:val="21"/>
                <w:highlight w:val="none"/>
              </w:rPr>
            </w:pPr>
            <w:r>
              <w:rPr>
                <w:rFonts w:hint="eastAsia" w:ascii="Times New Roman" w:cs="Times New Roman"/>
                <w:color w:val="auto"/>
                <w:sz w:val="21"/>
                <w:szCs w:val="21"/>
                <w:highlight w:val="none"/>
                <w:lang w:val="en-US" w:eastAsia="zh-CN"/>
              </w:rPr>
              <w:t>建议企业</w:t>
            </w:r>
            <w:r>
              <w:rPr>
                <w:rFonts w:hint="eastAsia" w:ascii="Times New Roman" w:cs="Times New Roman"/>
                <w:color w:val="auto"/>
                <w:sz w:val="21"/>
                <w:szCs w:val="21"/>
                <w:highlight w:val="none"/>
              </w:rPr>
              <w:t>设置事故应急池，</w:t>
            </w:r>
            <w:r>
              <w:rPr>
                <w:rFonts w:ascii="Times New Roman" w:cs="Times New Roman"/>
                <w:color w:val="auto"/>
                <w:sz w:val="21"/>
                <w:szCs w:val="21"/>
                <w:highlight w:val="none"/>
              </w:rPr>
              <w:t>当发生事故后，应立即打开厂区管网与事故应急池连接阀门，使可能受污染的雨水、事故废水进入事故应急池，将其截留在厂区内，确保污染物不进入外部水体。事故废水经收集后</w:t>
            </w:r>
            <w:r>
              <w:rPr>
                <w:rFonts w:hint="eastAsia" w:ascii="Times New Roman" w:cs="Times New Roman"/>
                <w:color w:val="auto"/>
                <w:sz w:val="21"/>
                <w:szCs w:val="21"/>
                <w:highlight w:val="none"/>
              </w:rPr>
              <w:t>委外</w:t>
            </w:r>
            <w:r>
              <w:rPr>
                <w:rFonts w:ascii="Times New Roman" w:cs="Times New Roman"/>
                <w:color w:val="auto"/>
                <w:sz w:val="21"/>
                <w:szCs w:val="21"/>
                <w:highlight w:val="none"/>
              </w:rPr>
              <w:t>处理，不排入外部水环境，因此对周围水体环境影响范围和程度均较小</w:t>
            </w:r>
            <w:r>
              <w:rPr>
                <w:rFonts w:hint="eastAsia"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eastAsia" w:ascii="Times New Roman" w:cs="Times New Roman"/>
                <w:color w:val="auto"/>
                <w:sz w:val="21"/>
                <w:szCs w:val="21"/>
                <w:highlight w:val="none"/>
              </w:rPr>
            </w:pPr>
            <w:r>
              <w:rPr>
                <w:rFonts w:ascii="Times New Roman" w:cs="Times New Roman"/>
                <w:color w:val="auto"/>
                <w:sz w:val="21"/>
                <w:szCs w:val="21"/>
                <w:highlight w:val="none"/>
              </w:rPr>
              <w:t>事故池根据《事故状态下水体污染的预防和控制技术要求》（Q/SY1190-2009）中的相关规定设置。事故池主要用于厂区内发生事故或火灾时，控制、收集和存放污染事故水（包括污染雨水）及消防污染水。</w:t>
            </w:r>
          </w:p>
          <w:p>
            <w:pPr>
              <w:pStyle w:val="23"/>
              <w:pageBreakBefore w:val="0"/>
              <w:widowControl w:val="0"/>
              <w:kinsoku/>
              <w:wordWrap/>
              <w:overflowPunct/>
              <w:topLinePunct w:val="0"/>
              <w:bidi w:val="0"/>
              <w:adjustRightInd/>
              <w:spacing w:line="360" w:lineRule="auto"/>
              <w:ind w:firstLine="420" w:firstLineChars="200"/>
              <w:rPr>
                <w:rFonts w:ascii="Times New Roman" w:cs="Times New Roman"/>
                <w:color w:val="auto"/>
                <w:sz w:val="21"/>
                <w:szCs w:val="21"/>
                <w:highlight w:val="none"/>
              </w:rPr>
            </w:pPr>
            <w:r>
              <w:rPr>
                <w:rFonts w:ascii="Times New Roman" w:cs="Times New Roman"/>
                <w:color w:val="auto"/>
                <w:sz w:val="21"/>
                <w:szCs w:val="21"/>
                <w:highlight w:val="none"/>
              </w:rPr>
              <w:t>应急事故池：</w:t>
            </w:r>
          </w:p>
          <w:p>
            <w:pPr>
              <w:pStyle w:val="23"/>
              <w:pageBreakBefore w:val="0"/>
              <w:widowControl w:val="0"/>
              <w:kinsoku/>
              <w:wordWrap/>
              <w:overflowPunct/>
              <w:topLinePunct w:val="0"/>
              <w:bidi w:val="0"/>
              <w:adjustRightInd/>
              <w:spacing w:line="360" w:lineRule="auto"/>
              <w:ind w:firstLine="420" w:firstLineChars="200"/>
              <w:jc w:val="center"/>
              <w:rPr>
                <w:rFonts w:ascii="Times New Roman" w:cs="Times New Roman"/>
                <w:color w:val="auto"/>
                <w:sz w:val="21"/>
                <w:szCs w:val="21"/>
                <w:highlight w:val="none"/>
              </w:rPr>
            </w:pPr>
            <w:r>
              <w:rPr>
                <w:rFonts w:ascii="Times New Roman" w:cs="Times New Roman"/>
                <w:color w:val="auto"/>
                <w:sz w:val="21"/>
                <w:szCs w:val="21"/>
                <w:highlight w:val="none"/>
              </w:rPr>
              <w:t>V</w:t>
            </w:r>
            <w:r>
              <w:rPr>
                <w:rFonts w:ascii="Times New Roman" w:cs="Times New Roman"/>
                <w:color w:val="auto"/>
                <w:sz w:val="21"/>
                <w:szCs w:val="21"/>
                <w:highlight w:val="none"/>
                <w:vertAlign w:val="subscript"/>
              </w:rPr>
              <w:t>总</w:t>
            </w:r>
            <w:r>
              <w:rPr>
                <w:rFonts w:ascii="Times New Roman" w:cs="Times New Roman"/>
                <w:color w:val="auto"/>
                <w:sz w:val="21"/>
                <w:szCs w:val="21"/>
                <w:highlight w:val="none"/>
              </w:rPr>
              <w:t>=（V</w:t>
            </w:r>
            <w:r>
              <w:rPr>
                <w:rFonts w:ascii="Times New Roman" w:cs="Times New Roman"/>
                <w:color w:val="auto"/>
                <w:sz w:val="21"/>
                <w:szCs w:val="21"/>
                <w:highlight w:val="none"/>
                <w:vertAlign w:val="subscript"/>
              </w:rPr>
              <w:t>1</w:t>
            </w:r>
            <w:r>
              <w:rPr>
                <w:rFonts w:ascii="Times New Roman" w:cs="Times New Roman"/>
                <w:color w:val="auto"/>
                <w:sz w:val="21"/>
                <w:szCs w:val="21"/>
                <w:highlight w:val="none"/>
              </w:rPr>
              <w:t>+V</w:t>
            </w:r>
            <w:r>
              <w:rPr>
                <w:rFonts w:ascii="Times New Roman" w:cs="Times New Roman"/>
                <w:color w:val="auto"/>
                <w:sz w:val="21"/>
                <w:szCs w:val="21"/>
                <w:highlight w:val="none"/>
                <w:vertAlign w:val="subscript"/>
              </w:rPr>
              <w:t>2</w:t>
            </w:r>
            <w:r>
              <w:rPr>
                <w:rFonts w:ascii="Times New Roman" w:cs="Times New Roman"/>
                <w:color w:val="auto"/>
                <w:sz w:val="21"/>
                <w:szCs w:val="21"/>
                <w:highlight w:val="none"/>
              </w:rPr>
              <w:t>-V</w:t>
            </w:r>
            <w:r>
              <w:rPr>
                <w:rFonts w:ascii="Times New Roman" w:cs="Times New Roman"/>
                <w:color w:val="auto"/>
                <w:sz w:val="21"/>
                <w:szCs w:val="21"/>
                <w:highlight w:val="none"/>
                <w:vertAlign w:val="subscript"/>
              </w:rPr>
              <w:t>3</w:t>
            </w:r>
            <w:r>
              <w:rPr>
                <w:rFonts w:ascii="Times New Roman" w:cs="Times New Roman"/>
                <w:color w:val="auto"/>
                <w:sz w:val="21"/>
                <w:szCs w:val="21"/>
                <w:highlight w:val="none"/>
              </w:rPr>
              <w:t>）</w:t>
            </w:r>
            <w:r>
              <w:rPr>
                <w:rFonts w:ascii="Times New Roman" w:cs="Times New Roman"/>
                <w:color w:val="auto"/>
                <w:sz w:val="21"/>
                <w:szCs w:val="21"/>
                <w:highlight w:val="none"/>
                <w:vertAlign w:val="subscript"/>
              </w:rPr>
              <w:t>max</w:t>
            </w:r>
            <w:r>
              <w:rPr>
                <w:rFonts w:ascii="Times New Roman" w:cs="Times New Roman"/>
                <w:color w:val="auto"/>
                <w:sz w:val="21"/>
                <w:szCs w:val="21"/>
                <w:highlight w:val="none"/>
              </w:rPr>
              <w:t>+V</w:t>
            </w:r>
            <w:r>
              <w:rPr>
                <w:rFonts w:ascii="Times New Roman" w:cs="Times New Roman"/>
                <w:color w:val="auto"/>
                <w:sz w:val="21"/>
                <w:szCs w:val="21"/>
                <w:highlight w:val="none"/>
                <w:vertAlign w:val="subscript"/>
              </w:rPr>
              <w:t>4</w:t>
            </w:r>
            <w:r>
              <w:rPr>
                <w:rFonts w:ascii="Times New Roman" w:cs="Times New Roman"/>
                <w:color w:val="auto"/>
                <w:sz w:val="21"/>
                <w:szCs w:val="21"/>
                <w:highlight w:val="none"/>
              </w:rPr>
              <w:t>+V</w:t>
            </w:r>
            <w:r>
              <w:rPr>
                <w:rFonts w:ascii="Times New Roman" w:cs="Times New Roman"/>
                <w:color w:val="auto"/>
                <w:sz w:val="21"/>
                <w:szCs w:val="21"/>
                <w:highlight w:val="none"/>
                <w:vertAlign w:val="subscript"/>
              </w:rPr>
              <w:t>5</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注：（V</w:t>
            </w:r>
            <w:r>
              <w:rPr>
                <w:rFonts w:hint="default" w:ascii="Times New Roman" w:cs="Times New Roman"/>
                <w:color w:val="auto"/>
                <w:sz w:val="21"/>
                <w:szCs w:val="21"/>
                <w:highlight w:val="none"/>
                <w:vertAlign w:val="subscript"/>
              </w:rPr>
              <w:t>1</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2</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3</w:t>
            </w:r>
            <w:r>
              <w:rPr>
                <w:rFonts w:hint="default" w:ascii="Times New Roman" w:cs="Times New Roman"/>
                <w:color w:val="auto"/>
                <w:sz w:val="21"/>
                <w:szCs w:val="21"/>
                <w:highlight w:val="none"/>
              </w:rPr>
              <w:t>）</w:t>
            </w:r>
            <w:r>
              <w:rPr>
                <w:rFonts w:hint="default" w:ascii="Times New Roman" w:cs="Times New Roman"/>
                <w:color w:val="auto"/>
                <w:sz w:val="21"/>
                <w:szCs w:val="21"/>
                <w:highlight w:val="none"/>
                <w:vertAlign w:val="subscript"/>
              </w:rPr>
              <w:t>max</w:t>
            </w:r>
            <w:r>
              <w:rPr>
                <w:rFonts w:hint="default" w:ascii="Times New Roman" w:cs="Times New Roman"/>
                <w:color w:val="auto"/>
                <w:sz w:val="21"/>
                <w:szCs w:val="21"/>
                <w:highlight w:val="none"/>
              </w:rPr>
              <w:t>是指对收集系统范围内不同罐组或装置分别计算V</w:t>
            </w:r>
            <w:r>
              <w:rPr>
                <w:rFonts w:hint="default" w:ascii="Times New Roman" w:cs="Times New Roman"/>
                <w:color w:val="auto"/>
                <w:sz w:val="21"/>
                <w:szCs w:val="21"/>
                <w:highlight w:val="none"/>
                <w:vertAlign w:val="subscript"/>
              </w:rPr>
              <w:t>1</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2</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3</w:t>
            </w:r>
            <w:r>
              <w:rPr>
                <w:rFonts w:hint="default" w:ascii="Times New Roman" w:cs="Times New Roman"/>
                <w:color w:val="auto"/>
                <w:sz w:val="21"/>
                <w:szCs w:val="21"/>
                <w:highlight w:val="none"/>
              </w:rPr>
              <w:t>，取其中最大值。</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lang w:val="en-US" w:eastAsia="zh-CN"/>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1</w:t>
            </w:r>
            <w:r>
              <w:rPr>
                <w:rFonts w:hint="default" w:ascii="Times New Roman" w:cs="Times New Roman"/>
                <w:color w:val="auto"/>
                <w:sz w:val="21"/>
                <w:szCs w:val="21"/>
                <w:highlight w:val="none"/>
              </w:rPr>
              <w:t>——为最大一个容量的设备（装置）或贮罐的物料贮存量。</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2</w:t>
            </w:r>
            <w:r>
              <w:rPr>
                <w:rFonts w:hint="default" w:ascii="Times New Roman" w:cs="Times New Roman"/>
                <w:color w:val="auto"/>
                <w:sz w:val="21"/>
                <w:szCs w:val="21"/>
                <w:highlight w:val="none"/>
              </w:rPr>
              <w:t>——为在装置区或贮罐区一旦发生火灾爆炸及泄漏时的最大消防水量，m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lang w:val="en-US" w:eastAsia="zh-CN"/>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2</w:t>
            </w:r>
            <w:r>
              <w:rPr>
                <w:rFonts w:hint="default" w:ascii="Times New Roman" w:cs="Times New Roman"/>
                <w:color w:val="auto"/>
                <w:sz w:val="21"/>
                <w:szCs w:val="21"/>
                <w:highlight w:val="none"/>
              </w:rPr>
              <w:t>=ΣQ</w:t>
            </w:r>
            <w:r>
              <w:rPr>
                <w:rFonts w:hint="default" w:ascii="Times New Roman" w:cs="Times New Roman"/>
                <w:color w:val="auto"/>
                <w:sz w:val="21"/>
                <w:szCs w:val="21"/>
                <w:highlight w:val="none"/>
                <w:vertAlign w:val="subscript"/>
              </w:rPr>
              <w:t>消</w:t>
            </w:r>
            <w:r>
              <w:rPr>
                <w:rFonts w:hint="default" w:ascii="Times New Roman" w:cs="Times New Roman"/>
                <w:color w:val="auto"/>
                <w:sz w:val="21"/>
                <w:szCs w:val="21"/>
                <w:highlight w:val="none"/>
              </w:rPr>
              <w:t>t</w:t>
            </w:r>
            <w:r>
              <w:rPr>
                <w:rFonts w:hint="default" w:ascii="Times New Roman" w:cs="Times New Roman"/>
                <w:color w:val="auto"/>
                <w:sz w:val="21"/>
                <w:szCs w:val="21"/>
                <w:highlight w:val="none"/>
                <w:vertAlign w:val="subscript"/>
              </w:rPr>
              <w:t>消</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Q</w:t>
            </w:r>
            <w:r>
              <w:rPr>
                <w:rFonts w:hint="default" w:ascii="Times New Roman" w:cs="Times New Roman"/>
                <w:color w:val="auto"/>
                <w:sz w:val="21"/>
                <w:szCs w:val="21"/>
                <w:highlight w:val="none"/>
                <w:vertAlign w:val="subscript"/>
              </w:rPr>
              <w:t>消</w:t>
            </w:r>
            <w:r>
              <w:rPr>
                <w:rFonts w:hint="default" w:ascii="Times New Roman" w:cs="Times New Roman"/>
                <w:color w:val="auto"/>
                <w:sz w:val="21"/>
                <w:szCs w:val="21"/>
                <w:highlight w:val="none"/>
              </w:rPr>
              <w:t>——发生事故的储罐或装置的同时使用的消防设施给水流量，m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/h；</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t</w:t>
            </w:r>
            <w:r>
              <w:rPr>
                <w:rFonts w:hint="default" w:ascii="Times New Roman" w:cs="Times New Roman"/>
                <w:color w:val="auto"/>
                <w:sz w:val="21"/>
                <w:szCs w:val="21"/>
                <w:highlight w:val="none"/>
                <w:vertAlign w:val="subscript"/>
              </w:rPr>
              <w:t>消</w:t>
            </w:r>
            <w:r>
              <w:rPr>
                <w:rFonts w:hint="default" w:ascii="Times New Roman" w:cs="Times New Roman"/>
                <w:color w:val="auto"/>
                <w:sz w:val="21"/>
                <w:szCs w:val="21"/>
                <w:highlight w:val="none"/>
              </w:rPr>
              <w:t>——消防设施对应的设计消防历时，h；</w:t>
            </w:r>
          </w:p>
          <w:p>
            <w:pPr>
              <w:pStyle w:val="23"/>
              <w:pageBreakBefore w:val="0"/>
              <w:widowControl w:val="0"/>
              <w:kinsoku/>
              <w:wordWrap/>
              <w:overflowPunct/>
              <w:topLinePunct w:val="0"/>
              <w:bidi w:val="0"/>
              <w:adjustRightInd/>
              <w:spacing w:line="360" w:lineRule="auto"/>
              <w:ind w:firstLine="420" w:firstLineChars="200"/>
              <w:rPr>
                <w:rFonts w:hint="eastAsia" w:ascii="Times New Roman" w:cs="Times New Roman"/>
                <w:color w:val="auto"/>
                <w:sz w:val="21"/>
                <w:szCs w:val="21"/>
                <w:highlight w:val="none"/>
                <w:lang w:eastAsia="zh-CN"/>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3</w:t>
            </w:r>
            <w:r>
              <w:rPr>
                <w:rFonts w:hint="default" w:ascii="Times New Roman" w:cs="Times New Roman"/>
                <w:color w:val="auto"/>
                <w:sz w:val="21"/>
                <w:szCs w:val="21"/>
                <w:highlight w:val="none"/>
              </w:rPr>
              <w:t>——发生事故时可以转输到其他存储或处理设施的物料量，m</w:t>
            </w:r>
            <w:r>
              <w:rPr>
                <w:rFonts w:hint="default" w:ascii="Times New Roman" w:cs="Times New Roman"/>
                <w:color w:val="auto"/>
                <w:sz w:val="21"/>
                <w:szCs w:val="21"/>
                <w:highlight w:val="none"/>
                <w:vertAlign w:val="superscript"/>
              </w:rPr>
              <w:t>3</w:t>
            </w:r>
            <w:r>
              <w:rPr>
                <w:rFonts w:hint="eastAsia" w:ascii="Times New Roman" w:cs="Times New Roman"/>
                <w:color w:val="auto"/>
                <w:sz w:val="21"/>
                <w:szCs w:val="21"/>
                <w:highlight w:val="none"/>
                <w:lang w:val="en-US" w:eastAsia="zh-CN"/>
              </w:rPr>
              <w:t>。</w:t>
            </w:r>
          </w:p>
          <w:p>
            <w:pPr>
              <w:pStyle w:val="23"/>
              <w:pageBreakBefore w:val="0"/>
              <w:widowControl w:val="0"/>
              <w:kinsoku/>
              <w:wordWrap/>
              <w:overflowPunct/>
              <w:topLinePunct w:val="0"/>
              <w:bidi w:val="0"/>
              <w:adjustRightInd/>
              <w:spacing w:line="360" w:lineRule="auto"/>
              <w:ind w:firstLine="420" w:firstLineChars="200"/>
              <w:rPr>
                <w:rFonts w:hint="eastAsia" w:ascii="Times New Roman" w:cs="Times New Roman"/>
                <w:color w:val="auto"/>
                <w:sz w:val="21"/>
                <w:szCs w:val="21"/>
                <w:highlight w:val="none"/>
                <w:lang w:eastAsia="zh-CN"/>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4</w:t>
            </w:r>
            <w:r>
              <w:rPr>
                <w:rFonts w:hint="default" w:ascii="Times New Roman" w:cs="Times New Roman"/>
                <w:color w:val="auto"/>
                <w:sz w:val="21"/>
                <w:szCs w:val="21"/>
                <w:highlight w:val="none"/>
              </w:rPr>
              <w:t>——发生事故时仍必须进入该收集系统的生产废水量，m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企业</w:t>
            </w:r>
            <w:r>
              <w:rPr>
                <w:rFonts w:hint="eastAsia" w:ascii="Times New Roman" w:cs="Times New Roman"/>
                <w:color w:val="auto"/>
                <w:sz w:val="21"/>
                <w:szCs w:val="21"/>
                <w:highlight w:val="none"/>
                <w:lang w:eastAsia="zh-CN"/>
              </w:rPr>
              <w:t>无生产废水产生，故</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4</w:t>
            </w:r>
            <w:r>
              <w:rPr>
                <w:rFonts w:hint="default" w:ascii="Times New Roman" w:cs="Times New Roman"/>
                <w:color w:val="auto"/>
                <w:sz w:val="21"/>
                <w:szCs w:val="21"/>
                <w:highlight w:val="none"/>
              </w:rPr>
              <w:t>＝0m</w:t>
            </w:r>
            <w:r>
              <w:rPr>
                <w:rFonts w:hint="default" w:ascii="Times New Roman" w:cs="Times New Roman"/>
                <w:color w:val="auto"/>
                <w:sz w:val="21"/>
                <w:szCs w:val="21"/>
                <w:highlight w:val="none"/>
                <w:vertAlign w:val="superscript"/>
              </w:rPr>
              <w:t>3</w:t>
            </w:r>
            <w:r>
              <w:rPr>
                <w:rFonts w:hint="eastAsia" w:ascii="Times New Roman" w:cs="Times New Roman"/>
                <w:color w:val="auto"/>
                <w:sz w:val="21"/>
                <w:szCs w:val="21"/>
                <w:highlight w:val="none"/>
                <w:lang w:eastAsia="zh-CN"/>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5</w:t>
            </w:r>
            <w:r>
              <w:rPr>
                <w:rFonts w:hint="default" w:ascii="Times New Roman" w:cs="Times New Roman"/>
                <w:color w:val="auto"/>
                <w:sz w:val="21"/>
                <w:szCs w:val="21"/>
                <w:highlight w:val="none"/>
              </w:rPr>
              <w:t>——发生事故时可能进入该收集系统的降雨量，m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5</w:t>
            </w:r>
            <w:r>
              <w:rPr>
                <w:rFonts w:hint="default" w:ascii="Times New Roman" w:cs="Times New Roman"/>
                <w:color w:val="auto"/>
                <w:sz w:val="21"/>
                <w:szCs w:val="21"/>
                <w:highlight w:val="none"/>
              </w:rPr>
              <w:t>＝10qF</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q——降雨强度，mm；按平均日降雨量；</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q=q</w:t>
            </w:r>
            <w:r>
              <w:rPr>
                <w:rFonts w:hint="default" w:ascii="Times New Roman" w:cs="Times New Roman"/>
                <w:color w:val="auto"/>
                <w:sz w:val="21"/>
                <w:szCs w:val="21"/>
                <w:highlight w:val="none"/>
                <w:vertAlign w:val="subscript"/>
              </w:rPr>
              <w:t>a</w:t>
            </w:r>
            <w:r>
              <w:rPr>
                <w:rFonts w:hint="default" w:ascii="Times New Roman" w:cs="Times New Roman"/>
                <w:color w:val="auto"/>
                <w:sz w:val="21"/>
                <w:szCs w:val="21"/>
                <w:highlight w:val="none"/>
              </w:rPr>
              <w:t>/n</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lang w:val="en-US"/>
              </w:rPr>
            </w:pPr>
            <w:r>
              <w:rPr>
                <w:rFonts w:hint="default" w:ascii="Times New Roman" w:cs="Times New Roman"/>
                <w:color w:val="auto"/>
                <w:sz w:val="21"/>
                <w:szCs w:val="21"/>
                <w:highlight w:val="none"/>
              </w:rPr>
              <w:t>q</w:t>
            </w:r>
            <w:r>
              <w:rPr>
                <w:rFonts w:hint="default" w:ascii="Times New Roman" w:cs="Times New Roman"/>
                <w:color w:val="auto"/>
                <w:sz w:val="21"/>
                <w:szCs w:val="21"/>
                <w:highlight w:val="none"/>
                <w:vertAlign w:val="subscript"/>
              </w:rPr>
              <w:t>a</w:t>
            </w:r>
            <w:r>
              <w:rPr>
                <w:rFonts w:hint="default" w:ascii="Times New Roman" w:cs="Times New Roman"/>
                <w:color w:val="auto"/>
                <w:sz w:val="21"/>
                <w:szCs w:val="21"/>
                <w:highlight w:val="none"/>
              </w:rPr>
              <w:t>——年平均降雨量，mm；n——年平均降雨日数。</w:t>
            </w:r>
            <w:r>
              <w:rPr>
                <w:rFonts w:hint="eastAsia" w:ascii="Times New Roman" w:cs="Times New Roman"/>
                <w:color w:val="auto"/>
                <w:sz w:val="21"/>
                <w:szCs w:val="21"/>
                <w:highlight w:val="none"/>
                <w:lang w:eastAsia="zh-CN"/>
              </w:rPr>
              <w:t>通过查询，苏州平均年降雨量</w:t>
            </w:r>
            <w:r>
              <w:rPr>
                <w:rFonts w:hint="eastAsia" w:ascii="Times New Roman" w:cs="Times New Roman"/>
                <w:color w:val="auto"/>
                <w:sz w:val="21"/>
                <w:szCs w:val="21"/>
                <w:highlight w:val="none"/>
                <w:lang w:val="en-US" w:eastAsia="zh-CN"/>
              </w:rPr>
              <w:t>1076.2mm，年均下雨天数约149d，故q=7.22mm。</w:t>
            </w:r>
          </w:p>
          <w:p>
            <w:pPr>
              <w:pStyle w:val="23"/>
              <w:pageBreakBefore w:val="0"/>
              <w:widowControl w:val="0"/>
              <w:kinsoku/>
              <w:wordWrap/>
              <w:overflowPunct/>
              <w:topLinePunct w:val="0"/>
              <w:bidi w:val="0"/>
              <w:adjustRightInd/>
              <w:spacing w:line="360" w:lineRule="auto"/>
              <w:ind w:firstLine="420" w:firstLineChars="200"/>
              <w:rPr>
                <w:rFonts w:hint="eastAsia" w:ascii="Times New Roman" w:cs="Times New Roman"/>
                <w:color w:val="auto"/>
                <w:sz w:val="21"/>
                <w:szCs w:val="21"/>
                <w:highlight w:val="none"/>
                <w:lang w:val="en-US" w:eastAsia="zh-CN"/>
              </w:rPr>
            </w:pPr>
            <w:r>
              <w:rPr>
                <w:rFonts w:hint="default" w:ascii="Times New Roman" w:cs="Times New Roman"/>
                <w:color w:val="auto"/>
                <w:sz w:val="21"/>
                <w:szCs w:val="21"/>
                <w:highlight w:val="none"/>
              </w:rPr>
              <w:t>F——必须进入事故废水收集系统的雨水汇水面积，hm</w:t>
            </w:r>
            <w:r>
              <w:rPr>
                <w:rFonts w:hint="default" w:ascii="Times New Roman" w:cs="Times New Roman"/>
                <w:color w:val="auto"/>
                <w:sz w:val="21"/>
                <w:szCs w:val="21"/>
                <w:highlight w:val="none"/>
                <w:vertAlign w:val="superscript"/>
              </w:rPr>
              <w:t>2</w:t>
            </w:r>
            <w:r>
              <w:rPr>
                <w:rFonts w:hint="default" w:ascii="Times New Roman" w:cs="Times New Roman"/>
                <w:color w:val="auto"/>
                <w:sz w:val="21"/>
                <w:szCs w:val="21"/>
                <w:highlight w:val="none"/>
              </w:rPr>
              <w:t>。必须进入事故废水收集系统的雨水汇水面积</w:t>
            </w:r>
            <w:r>
              <w:rPr>
                <w:rFonts w:hint="eastAsia" w:ascii="Times New Roman" w:cs="Times New Roman"/>
                <w:color w:val="auto"/>
                <w:sz w:val="21"/>
                <w:szCs w:val="21"/>
                <w:highlight w:val="none"/>
                <w:lang w:eastAsia="zh-CN"/>
              </w:rPr>
              <w:t>，车间面积约</w:t>
            </w:r>
            <w:r>
              <w:rPr>
                <w:rFonts w:hint="eastAsia" w:ascii="Times New Roman" w:cs="Times New Roman"/>
                <w:color w:val="auto"/>
                <w:sz w:val="21"/>
                <w:szCs w:val="21"/>
                <w:highlight w:val="none"/>
                <w:lang w:val="en-US" w:eastAsia="zh-CN"/>
              </w:rPr>
              <w:t>0.16</w:t>
            </w:r>
            <w:r>
              <w:rPr>
                <w:rFonts w:hint="default" w:ascii="Times New Roman" w:cs="Times New Roman"/>
                <w:color w:val="auto"/>
                <w:sz w:val="21"/>
                <w:szCs w:val="21"/>
                <w:highlight w:val="none"/>
              </w:rPr>
              <w:t>hm</w:t>
            </w:r>
            <w:r>
              <w:rPr>
                <w:rFonts w:hint="default" w:ascii="Times New Roman" w:cs="Times New Roman"/>
                <w:color w:val="auto"/>
                <w:sz w:val="21"/>
                <w:szCs w:val="21"/>
                <w:highlight w:val="none"/>
                <w:vertAlign w:val="superscript"/>
              </w:rPr>
              <w:t>2</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1600</w:t>
            </w:r>
            <w:r>
              <w:rPr>
                <w:rFonts w:hint="default" w:ascii="Times New Roman" w:cs="Times New Roman"/>
                <w:color w:val="auto"/>
                <w:sz w:val="21"/>
                <w:szCs w:val="21"/>
                <w:highlight w:val="none"/>
              </w:rPr>
              <w:t>m</w:t>
            </w:r>
            <w:r>
              <w:rPr>
                <w:rFonts w:hint="default" w:ascii="Times New Roman" w:cs="Times New Roman"/>
                <w:color w:val="auto"/>
                <w:sz w:val="21"/>
                <w:szCs w:val="21"/>
                <w:highlight w:val="none"/>
                <w:vertAlign w:val="superscript"/>
              </w:rPr>
              <w:t>2</w:t>
            </w:r>
            <w:r>
              <w:rPr>
                <w:rFonts w:hint="eastAsia" w:ascii="Times New Roman" w:cs="Times New Roman"/>
                <w:color w:val="auto"/>
                <w:sz w:val="21"/>
                <w:szCs w:val="21"/>
                <w:highlight w:val="none"/>
                <w:lang w:eastAsia="zh-CN"/>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根据项目情况，本项目事故存储设施总有效容积计算如下：</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1</w:t>
            </w:r>
            <w:r>
              <w:rPr>
                <w:rFonts w:hint="default"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0.208</w:t>
            </w:r>
            <w:r>
              <w:rPr>
                <w:rFonts w:hint="default" w:ascii="Times New Roman" w:cs="Times New Roman"/>
                <w:color w:val="auto"/>
                <w:sz w:val="21"/>
                <w:szCs w:val="21"/>
                <w:highlight w:val="none"/>
              </w:rPr>
              <w:t>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r>
              <w:rPr>
                <w:rFonts w:hint="default" w:ascii="Times New Roman" w:cs="Times New Roman"/>
                <w:color w:val="auto"/>
                <w:sz w:val="21"/>
                <w:szCs w:val="21"/>
                <w:highlight w:val="none"/>
                <w:lang w:val="en-US" w:eastAsia="zh-CN"/>
              </w:rPr>
              <w:t>MOBIL DTE 25液压油</w:t>
            </w:r>
            <w:r>
              <w:rPr>
                <w:rFonts w:hint="eastAsia" w:ascii="Times New Roman" w:cs="Times New Roman"/>
                <w:color w:val="auto"/>
                <w:sz w:val="21"/>
                <w:szCs w:val="21"/>
                <w:highlight w:val="none"/>
                <w:lang w:val="en-US" w:eastAsia="zh-CN"/>
              </w:rPr>
              <w:t>单桶容量</w:t>
            </w:r>
            <w:r>
              <w:rPr>
                <w:rFonts w:hint="default"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2</w:t>
            </w:r>
            <w:r>
              <w:rPr>
                <w:rFonts w:hint="default" w:ascii="Times New Roman" w:cs="Times New Roman"/>
                <w:color w:val="auto"/>
                <w:sz w:val="21"/>
                <w:szCs w:val="21"/>
                <w:highlight w:val="none"/>
              </w:rPr>
              <w:t>＝367.2m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厂房消防用水量根据《石油化工企业设计防火规范》(GB50160-2008)第8.4.2</w:t>
            </w:r>
            <w:r>
              <w:rPr>
                <w:rFonts w:hint="default" w:ascii="Times New Roman" w:cs="Times New Roman"/>
                <w:color w:val="auto"/>
                <w:sz w:val="21"/>
                <w:szCs w:val="21"/>
                <w:highlight w:val="none"/>
                <w:lang w:eastAsia="zh-CN"/>
              </w:rPr>
              <w:t>及</w:t>
            </w:r>
            <w:r>
              <w:rPr>
                <w:rFonts w:hint="default" w:ascii="Times New Roman" w:cs="Times New Roman"/>
                <w:color w:val="auto"/>
                <w:sz w:val="21"/>
                <w:szCs w:val="21"/>
                <w:highlight w:val="none"/>
              </w:rPr>
              <w:t>《消防给水及消火栓系统技术规范》(GB50974-2014)</w:t>
            </w:r>
            <w:r>
              <w:rPr>
                <w:rFonts w:hint="default" w:ascii="Times New Roman" w:cs="Times New Roman"/>
                <w:color w:val="auto"/>
                <w:sz w:val="21"/>
                <w:szCs w:val="21"/>
                <w:highlight w:val="none"/>
                <w:lang w:eastAsia="zh-CN"/>
              </w:rPr>
              <w:t>相关规定规定：</w:t>
            </w:r>
            <w:r>
              <w:rPr>
                <w:rFonts w:hint="default" w:ascii="Times New Roman" w:cs="Times New Roman"/>
                <w:color w:val="auto"/>
                <w:sz w:val="21"/>
                <w:szCs w:val="21"/>
                <w:highlight w:val="none"/>
                <w:lang w:val="zh-CN" w:eastAsia="zh-CN"/>
              </w:rPr>
              <w:t>室外消防水</w:t>
            </w:r>
            <w:r>
              <w:rPr>
                <w:rFonts w:hint="eastAsia" w:ascii="Times New Roman" w:cs="Times New Roman"/>
                <w:color w:val="auto"/>
                <w:sz w:val="21"/>
                <w:szCs w:val="21"/>
                <w:highlight w:val="none"/>
                <w:lang w:val="en-US" w:eastAsia="zh-CN"/>
              </w:rPr>
              <w:t>40</w:t>
            </w:r>
            <w:r>
              <w:rPr>
                <w:rFonts w:hint="default" w:ascii="Times New Roman" w:cs="Times New Roman"/>
                <w:color w:val="auto"/>
                <w:sz w:val="21"/>
                <w:szCs w:val="21"/>
                <w:highlight w:val="none"/>
                <w:lang w:val="zh-CN" w:eastAsia="zh-CN"/>
              </w:rPr>
              <w:t>L/s，室内消防水量</w:t>
            </w:r>
            <w:r>
              <w:rPr>
                <w:rFonts w:hint="eastAsia" w:ascii="Times New Roman" w:cs="Times New Roman"/>
                <w:color w:val="auto"/>
                <w:sz w:val="21"/>
                <w:szCs w:val="21"/>
                <w:highlight w:val="none"/>
                <w:lang w:val="en-US" w:eastAsia="zh-CN"/>
              </w:rPr>
              <w:t>2</w:t>
            </w:r>
            <w:r>
              <w:rPr>
                <w:rFonts w:hint="default" w:ascii="Times New Roman" w:cs="Times New Roman"/>
                <w:color w:val="auto"/>
                <w:sz w:val="21"/>
                <w:szCs w:val="21"/>
                <w:highlight w:val="none"/>
                <w:lang w:val="zh-CN" w:eastAsia="zh-CN"/>
              </w:rPr>
              <w:t>0 L/s，消防总用水量</w:t>
            </w:r>
            <w:r>
              <w:rPr>
                <w:rFonts w:hint="eastAsia" w:ascii="Times New Roman" w:cs="Times New Roman"/>
                <w:color w:val="auto"/>
                <w:sz w:val="21"/>
                <w:szCs w:val="21"/>
                <w:highlight w:val="none"/>
                <w:lang w:val="en-US" w:eastAsia="zh-CN"/>
              </w:rPr>
              <w:t>60</w:t>
            </w:r>
            <w:r>
              <w:rPr>
                <w:rFonts w:hint="default" w:ascii="Times New Roman" w:cs="Times New Roman"/>
                <w:color w:val="auto"/>
                <w:sz w:val="21"/>
                <w:szCs w:val="21"/>
                <w:highlight w:val="none"/>
                <w:lang w:val="zh-CN" w:eastAsia="zh-CN"/>
              </w:rPr>
              <w:t xml:space="preserve"> L/s，火灾延续时间以</w:t>
            </w:r>
            <w:r>
              <w:rPr>
                <w:rFonts w:hint="default" w:ascii="Times New Roman" w:cs="Times New Roman"/>
                <w:color w:val="auto"/>
                <w:sz w:val="21"/>
                <w:szCs w:val="21"/>
                <w:highlight w:val="none"/>
                <w:lang w:val="en-US" w:eastAsia="zh-CN"/>
              </w:rPr>
              <w:t>2</w:t>
            </w:r>
            <w:r>
              <w:rPr>
                <w:rFonts w:hint="default" w:ascii="Times New Roman" w:cs="Times New Roman"/>
                <w:color w:val="auto"/>
                <w:sz w:val="21"/>
                <w:szCs w:val="21"/>
                <w:highlight w:val="none"/>
                <w:lang w:val="zh-CN" w:eastAsia="zh-CN"/>
              </w:rPr>
              <w:t>小时计，一次消防水量为</w:t>
            </w:r>
            <w:r>
              <w:rPr>
                <w:rFonts w:hint="eastAsia" w:ascii="Times New Roman" w:cs="Times New Roman"/>
                <w:color w:val="auto"/>
                <w:sz w:val="21"/>
                <w:szCs w:val="21"/>
                <w:highlight w:val="none"/>
                <w:lang w:val="en-US" w:eastAsia="zh-CN"/>
              </w:rPr>
              <w:t>432</w:t>
            </w:r>
            <w:r>
              <w:rPr>
                <w:rFonts w:hint="default" w:ascii="Times New Roman" w:cs="Times New Roman"/>
                <w:color w:val="auto"/>
                <w:sz w:val="21"/>
                <w:szCs w:val="21"/>
                <w:highlight w:val="none"/>
                <w:lang w:val="zh-CN" w:eastAsia="zh-CN"/>
              </w:rPr>
              <w:t>m</w:t>
            </w:r>
            <w:r>
              <w:rPr>
                <w:rFonts w:hint="default" w:ascii="Times New Roman" w:cs="Times New Roman"/>
                <w:color w:val="auto"/>
                <w:sz w:val="21"/>
                <w:szCs w:val="21"/>
                <w:highlight w:val="none"/>
                <w:vertAlign w:val="superscript"/>
                <w:lang w:val="zh-CN" w:eastAsia="zh-CN"/>
              </w:rPr>
              <w:t>3</w:t>
            </w:r>
            <w:r>
              <w:rPr>
                <w:rFonts w:hint="default" w:ascii="Times New Roman" w:cs="Times New Roman"/>
                <w:color w:val="auto"/>
                <w:sz w:val="21"/>
                <w:szCs w:val="21"/>
                <w:highlight w:val="none"/>
                <w:lang w:val="zh-CN" w:eastAsia="zh-CN"/>
              </w:rPr>
              <w:t>，转换系数按8</w:t>
            </w:r>
            <w:r>
              <w:rPr>
                <w:rFonts w:hint="eastAsia" w:ascii="Times New Roman" w:cs="Times New Roman"/>
                <w:color w:val="auto"/>
                <w:sz w:val="21"/>
                <w:szCs w:val="21"/>
                <w:highlight w:val="none"/>
                <w:lang w:val="en-US" w:eastAsia="zh-CN"/>
              </w:rPr>
              <w:t>5</w:t>
            </w:r>
            <w:r>
              <w:rPr>
                <w:rFonts w:hint="default" w:ascii="Times New Roman" w:cs="Times New Roman"/>
                <w:color w:val="auto"/>
                <w:sz w:val="21"/>
                <w:szCs w:val="21"/>
                <w:highlight w:val="none"/>
                <w:lang w:val="zh-CN" w:eastAsia="zh-CN"/>
              </w:rPr>
              <w:t>%计，则产生消防尾水</w:t>
            </w:r>
            <w:r>
              <w:rPr>
                <w:rFonts w:hint="eastAsia" w:ascii="Times New Roman" w:cs="Times New Roman"/>
                <w:color w:val="auto"/>
                <w:sz w:val="21"/>
                <w:szCs w:val="21"/>
                <w:highlight w:val="none"/>
                <w:lang w:val="en-US" w:eastAsia="zh-CN"/>
              </w:rPr>
              <w:t>367.2</w:t>
            </w:r>
            <w:r>
              <w:rPr>
                <w:rFonts w:hint="default" w:ascii="Times New Roman" w:cs="Times New Roman"/>
                <w:color w:val="auto"/>
                <w:sz w:val="21"/>
                <w:szCs w:val="21"/>
                <w:highlight w:val="none"/>
                <w:lang w:val="zh-CN" w:eastAsia="zh-CN"/>
              </w:rPr>
              <w:t>m</w:t>
            </w:r>
            <w:r>
              <w:rPr>
                <w:rFonts w:hint="default" w:ascii="Times New Roman" w:cs="Times New Roman"/>
                <w:color w:val="auto"/>
                <w:sz w:val="21"/>
                <w:szCs w:val="21"/>
                <w:highlight w:val="none"/>
                <w:vertAlign w:val="superscript"/>
                <w:lang w:val="zh-CN" w:eastAsia="zh-CN"/>
              </w:rPr>
              <w:t>3</w:t>
            </w:r>
            <w:r>
              <w:rPr>
                <w:rFonts w:hint="default" w:ascii="Times New Roman" w:cs="Times New Roman"/>
                <w:color w:val="auto"/>
                <w:sz w:val="21"/>
                <w:szCs w:val="21"/>
                <w:highlight w:val="none"/>
                <w:lang w:val="zh-CN" w:eastAsia="zh-CN"/>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3</w:t>
            </w:r>
            <w:r>
              <w:rPr>
                <w:rFonts w:hint="default" w:ascii="Times New Roman" w:cs="Times New Roman"/>
                <w:color w:val="auto"/>
                <w:sz w:val="21"/>
                <w:szCs w:val="21"/>
                <w:highlight w:val="none"/>
              </w:rPr>
              <w:t>＝</w:t>
            </w:r>
            <w:r>
              <w:rPr>
                <w:rFonts w:hint="default" w:ascii="Times New Roman" w:cs="Times New Roman"/>
                <w:color w:val="auto"/>
                <w:sz w:val="21"/>
                <w:szCs w:val="21"/>
                <w:highlight w:val="none"/>
                <w:lang w:val="en-US" w:eastAsia="zh-CN"/>
              </w:rPr>
              <w:t>0</w:t>
            </w:r>
            <w:r>
              <w:rPr>
                <w:rFonts w:hint="default" w:ascii="Times New Roman" w:cs="Times New Roman"/>
                <w:color w:val="auto"/>
                <w:sz w:val="21"/>
                <w:szCs w:val="21"/>
                <w:highlight w:val="none"/>
              </w:rPr>
              <w:t>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4</w:t>
            </w:r>
            <w:r>
              <w:rPr>
                <w:rFonts w:hint="default" w:ascii="Times New Roman" w:cs="Times New Roman"/>
                <w:color w:val="auto"/>
                <w:sz w:val="21"/>
                <w:szCs w:val="21"/>
                <w:highlight w:val="none"/>
              </w:rPr>
              <w:t>＝0m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，本项目无生产废水，因此V4=0m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w:t>
            </w:r>
          </w:p>
          <w:p>
            <w:pPr>
              <w:pStyle w:val="23"/>
              <w:pageBreakBefore w:val="0"/>
              <w:widowControl w:val="0"/>
              <w:kinsoku/>
              <w:wordWrap/>
              <w:overflowPunct/>
              <w:topLinePunct w:val="0"/>
              <w:bidi w:val="0"/>
              <w:adjustRightInd/>
              <w:spacing w:line="360" w:lineRule="auto"/>
              <w:ind w:firstLine="420" w:firstLineChars="200"/>
              <w:rPr>
                <w:rFonts w:hint="default"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5</w:t>
            </w:r>
            <w:r>
              <w:rPr>
                <w:rFonts w:hint="default" w:ascii="Times New Roman" w:cs="Times New Roman"/>
                <w:color w:val="auto"/>
                <w:sz w:val="21"/>
                <w:szCs w:val="21"/>
                <w:highlight w:val="none"/>
              </w:rPr>
              <w:t>＝10×1076.2/</w:t>
            </w:r>
            <w:r>
              <w:rPr>
                <w:rFonts w:hint="default" w:ascii="Times New Roman" w:cs="Times New Roman"/>
                <w:color w:val="auto"/>
                <w:sz w:val="21"/>
                <w:szCs w:val="21"/>
                <w:highlight w:val="none"/>
                <w:lang w:val="en-US" w:eastAsia="zh-CN"/>
              </w:rPr>
              <w:t>149</w:t>
            </w:r>
            <w:r>
              <w:rPr>
                <w:rFonts w:hint="default"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0.16</w:t>
            </w:r>
            <w:r>
              <w:rPr>
                <w:rFonts w:hint="default"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11.56</w:t>
            </w:r>
            <w:r>
              <w:rPr>
                <w:rFonts w:hint="default" w:ascii="Times New Roman" w:cs="Times New Roman"/>
                <w:color w:val="auto"/>
                <w:sz w:val="21"/>
                <w:szCs w:val="21"/>
                <w:highlight w:val="none"/>
              </w:rPr>
              <w:t>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rPr>
              <w:t>。（F）</w:t>
            </w:r>
          </w:p>
          <w:p>
            <w:pPr>
              <w:pStyle w:val="23"/>
              <w:pageBreakBefore w:val="0"/>
              <w:widowControl w:val="0"/>
              <w:kinsoku/>
              <w:wordWrap/>
              <w:overflowPunct/>
              <w:topLinePunct w:val="0"/>
              <w:bidi w:val="0"/>
              <w:adjustRightInd/>
              <w:spacing w:line="360" w:lineRule="auto"/>
              <w:ind w:firstLine="420" w:firstLineChars="200"/>
              <w:rPr>
                <w:rFonts w:ascii="Times New Roman" w:cs="Times New Roman"/>
                <w:color w:val="auto"/>
                <w:sz w:val="21"/>
                <w:szCs w:val="21"/>
                <w:highlight w:val="none"/>
              </w:rPr>
            </w:pP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总</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1</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2</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3</w:t>
            </w:r>
            <w:r>
              <w:rPr>
                <w:rFonts w:hint="default" w:ascii="Times New Roman" w:cs="Times New Roman"/>
                <w:color w:val="auto"/>
                <w:sz w:val="21"/>
                <w:szCs w:val="21"/>
                <w:highlight w:val="none"/>
              </w:rPr>
              <w:t>）</w:t>
            </w:r>
            <w:r>
              <w:rPr>
                <w:rFonts w:hint="default" w:ascii="Times New Roman" w:cs="Times New Roman"/>
                <w:color w:val="auto"/>
                <w:sz w:val="21"/>
                <w:szCs w:val="21"/>
                <w:highlight w:val="none"/>
                <w:vertAlign w:val="subscript"/>
              </w:rPr>
              <w:t xml:space="preserve">max </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4</w:t>
            </w:r>
            <w:r>
              <w:rPr>
                <w:rFonts w:hint="default" w:ascii="Times New Roman" w:cs="Times New Roman"/>
                <w:color w:val="auto"/>
                <w:sz w:val="21"/>
                <w:szCs w:val="21"/>
                <w:highlight w:val="none"/>
              </w:rPr>
              <w:t>+V</w:t>
            </w:r>
            <w:r>
              <w:rPr>
                <w:rFonts w:hint="default" w:ascii="Times New Roman" w:cs="Times New Roman"/>
                <w:color w:val="auto"/>
                <w:sz w:val="21"/>
                <w:szCs w:val="21"/>
                <w:highlight w:val="none"/>
                <w:vertAlign w:val="subscript"/>
              </w:rPr>
              <w:t>5</w:t>
            </w:r>
            <w:r>
              <w:rPr>
                <w:rFonts w:hint="default"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0.208</w:t>
            </w:r>
            <w:r>
              <w:rPr>
                <w:rFonts w:hint="default" w:ascii="Times New Roman" w:cs="Times New Roman"/>
                <w:color w:val="auto"/>
                <w:sz w:val="21"/>
                <w:szCs w:val="21"/>
                <w:highlight w:val="none"/>
              </w:rPr>
              <w:t>+367.2-</w:t>
            </w:r>
            <w:r>
              <w:rPr>
                <w:rFonts w:hint="eastAsia" w:ascii="Times New Roman" w:cs="Times New Roman"/>
                <w:color w:val="auto"/>
                <w:sz w:val="21"/>
                <w:szCs w:val="21"/>
                <w:highlight w:val="none"/>
                <w:lang w:val="en-US" w:eastAsia="zh-CN"/>
              </w:rPr>
              <w:t>0</w:t>
            </w:r>
            <w:r>
              <w:rPr>
                <w:rFonts w:hint="default" w:ascii="Times New Roman" w:cs="Times New Roman"/>
                <w:color w:val="auto"/>
                <w:sz w:val="21"/>
                <w:szCs w:val="21"/>
                <w:highlight w:val="none"/>
              </w:rPr>
              <w:t>+0+</w:t>
            </w:r>
            <w:r>
              <w:rPr>
                <w:rFonts w:hint="eastAsia" w:ascii="Times New Roman" w:cs="Times New Roman"/>
                <w:color w:val="auto"/>
                <w:sz w:val="21"/>
                <w:szCs w:val="21"/>
                <w:highlight w:val="none"/>
                <w:lang w:val="en-US" w:eastAsia="zh-CN"/>
              </w:rPr>
              <w:t>11.56</w:t>
            </w:r>
            <w:r>
              <w:rPr>
                <w:rFonts w:hint="default" w:ascii="Times New Roman" w:cs="Times New Roman"/>
                <w:color w:val="auto"/>
                <w:sz w:val="21"/>
                <w:szCs w:val="21"/>
                <w:highlight w:val="none"/>
              </w:rPr>
              <w:t>=</w:t>
            </w:r>
            <w:r>
              <w:rPr>
                <w:rFonts w:hint="eastAsia" w:ascii="Times New Roman" w:cs="Times New Roman"/>
                <w:color w:val="auto"/>
                <w:sz w:val="21"/>
                <w:szCs w:val="21"/>
                <w:highlight w:val="none"/>
                <w:lang w:val="en-US" w:eastAsia="zh-CN"/>
              </w:rPr>
              <w:t>378.968</w:t>
            </w:r>
            <w:r>
              <w:rPr>
                <w:rFonts w:hint="default" w:ascii="Times New Roman" w:cs="Times New Roman"/>
                <w:color w:val="auto"/>
                <w:sz w:val="21"/>
                <w:szCs w:val="21"/>
                <w:highlight w:val="none"/>
              </w:rPr>
              <w:t>m</w:t>
            </w:r>
            <w:r>
              <w:rPr>
                <w:rFonts w:hint="default" w:ascii="Times New Roman" w:cs="Times New Roman"/>
                <w:color w:val="auto"/>
                <w:sz w:val="21"/>
                <w:szCs w:val="21"/>
                <w:highlight w:val="none"/>
                <w:vertAlign w:val="superscript"/>
              </w:rPr>
              <w:t>3</w:t>
            </w:r>
            <w:r>
              <w:rPr>
                <w:rFonts w:hint="default" w:asci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ascii="Times New Roman" w:hAnsi="Times New Roman" w:eastAsia="宋体" w:cs="Times New Roman"/>
                <w:color w:val="auto"/>
                <w:kern w:val="0"/>
                <w:sz w:val="21"/>
                <w:szCs w:val="21"/>
                <w:highlight w:val="none"/>
                <w:lang w:val="en-US" w:eastAsia="zh-CN" w:bidi="ar-SA"/>
              </w:rPr>
              <w:t>建议企业雨水排口及时安装应急阀，并按照规范要求设置事故应急池。当发生事故后，应立即打开厂区管网与事故应急池连接阀门，使可能受污染的雨水、事故废水进入事故应急池，将其截留在厂区内，确保污染物不进入外部水体。</w:t>
            </w: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473"/>
        <w:gridCol w:w="1638"/>
        <w:gridCol w:w="2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tcBorders>
              <w:tl2br w:val="single" w:color="auto" w:sz="4" w:space="0"/>
            </w:tcBorders>
            <w:noWrap w:val="0"/>
            <w:vAlign w:val="top"/>
          </w:tcPr>
          <w:p>
            <w:pPr>
              <w:adjustRightInd w:val="0"/>
              <w:snapToGrid w:val="0"/>
              <w:ind w:firstLine="84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r>
              <w:rPr>
                <w:rFonts w:hint="eastAsia" w:ascii="宋体" w:hAnsi="宋体" w:cs="宋体"/>
                <w:szCs w:val="21"/>
              </w:rPr>
              <w:t>要素</w:t>
            </w:r>
          </w:p>
        </w:tc>
        <w:tc>
          <w:tcPr>
            <w:tcW w:w="1755"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排放口(编号、</w:t>
            </w:r>
          </w:p>
          <w:p>
            <w:pPr>
              <w:adjustRightInd w:val="0"/>
              <w:snapToGrid w:val="0"/>
              <w:jc w:val="center"/>
              <w:rPr>
                <w:rFonts w:hint="eastAsia" w:ascii="宋体" w:hAnsi="宋体" w:cs="宋体"/>
                <w:szCs w:val="21"/>
              </w:rPr>
            </w:pPr>
            <w:r>
              <w:rPr>
                <w:rFonts w:hint="eastAsia" w:ascii="宋体" w:hAnsi="宋体" w:cs="宋体"/>
                <w:szCs w:val="21"/>
              </w:rPr>
              <w:t>名称)/污染源</w:t>
            </w:r>
          </w:p>
        </w:tc>
        <w:tc>
          <w:tcPr>
            <w:tcW w:w="1473"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污染物项目</w:t>
            </w:r>
          </w:p>
        </w:tc>
        <w:tc>
          <w:tcPr>
            <w:tcW w:w="163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2156"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755" w:type="dxa"/>
            <w:noWrap w:val="0"/>
            <w:vAlign w:val="center"/>
          </w:tcPr>
          <w:p>
            <w:pPr>
              <w:pStyle w:val="29"/>
              <w:adjustRightInd w:val="0"/>
              <w:snapToGrid w:val="0"/>
              <w:spacing w:line="240" w:lineRule="auto"/>
              <w:ind w:left="0" w:leftChars="0" w:firstLine="0" w:firstLineChars="0"/>
              <w:jc w:val="center"/>
              <w:rPr>
                <w:rFonts w:hint="eastAsia" w:ascii="宋体" w:hAnsi="宋体" w:cs="宋体"/>
                <w:szCs w:val="21"/>
              </w:rPr>
            </w:pP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P</w:t>
            </w:r>
            <w:r>
              <w:rPr>
                <w:rFonts w:hint="default" w:ascii="Times New Roman" w:hAnsi="Times New Roman" w:cs="Times New Roman"/>
                <w:color w:val="auto"/>
                <w:sz w:val="21"/>
                <w:szCs w:val="21"/>
                <w:lang w:val="en-US" w:eastAsia="zh-CN"/>
              </w:rPr>
              <w:t>1</w:t>
            </w:r>
          </w:p>
        </w:tc>
        <w:tc>
          <w:tcPr>
            <w:tcW w:w="1473" w:type="dxa"/>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szCs w:val="21"/>
              </w:rPr>
              <w:t>非甲烷总烃</w:t>
            </w:r>
          </w:p>
        </w:tc>
        <w:tc>
          <w:tcPr>
            <w:tcW w:w="1638" w:type="dxa"/>
            <w:noWrap w:val="0"/>
            <w:vAlign w:val="center"/>
          </w:tcPr>
          <w:p>
            <w:pPr>
              <w:adjustRightInd w:val="0"/>
              <w:snapToGrid w:val="0"/>
              <w:jc w:val="center"/>
              <w:rPr>
                <w:rFonts w:hint="eastAsia" w:ascii="宋体" w:hAnsi="宋体" w:cs="宋体"/>
                <w:szCs w:val="21"/>
              </w:rPr>
            </w:pPr>
            <w:r>
              <w:rPr>
                <w:rFonts w:hint="eastAsia" w:cs="Times New Roman"/>
                <w:color w:val="000000" w:themeColor="text1"/>
                <w:szCs w:val="21"/>
                <w:lang w:val="en-US" w:eastAsia="zh-CN"/>
                <w14:textFill>
                  <w14:solidFill>
                    <w14:schemeClr w14:val="tx1"/>
                  </w14:solidFill>
                </w14:textFill>
              </w:rPr>
              <w:t>两级活性炭</w:t>
            </w:r>
            <w:r>
              <w:rPr>
                <w:rFonts w:hint="default" w:ascii="Times New Roman" w:hAnsi="Times New Roman" w:cs="Times New Roman"/>
                <w:color w:val="000000" w:themeColor="text1"/>
                <w:szCs w:val="21"/>
                <w14:textFill>
                  <w14:solidFill>
                    <w14:schemeClr w14:val="tx1"/>
                  </w14:solidFill>
                </w14:textFill>
              </w:rPr>
              <w:t>设备</w:t>
            </w:r>
          </w:p>
        </w:tc>
        <w:tc>
          <w:tcPr>
            <w:tcW w:w="2156" w:type="dxa"/>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szCs w:val="21"/>
                <w:lang w:val="en-US" w:eastAsia="zh-CN"/>
              </w:rPr>
              <w:t>《合成树脂工业污染物排放标准》（GB31572-2015）</w:t>
            </w:r>
            <w:r>
              <w:rPr>
                <w:rFonts w:hint="eastAsia" w:cs="Times New Roman"/>
                <w:szCs w:val="21"/>
                <w:lang w:val="en-US" w:eastAsia="zh-CN"/>
              </w:rPr>
              <w:t>、</w:t>
            </w:r>
            <w:r>
              <w:rPr>
                <w:rFonts w:hint="eastAsia" w:cs="Times New Roman"/>
                <w:b w:val="0"/>
                <w:bCs w:val="0"/>
                <w:color w:val="auto"/>
                <w:sz w:val="21"/>
                <w:szCs w:val="21"/>
                <w:highlight w:val="none"/>
                <w:lang w:val="en-US" w:eastAsia="zh-CN"/>
              </w:rPr>
              <w:t>《大气污染物综合排放标准》（</w:t>
            </w:r>
            <w:r>
              <w:rPr>
                <w:rFonts w:hint="eastAsia" w:ascii="Times New Roman" w:hAnsi="Times New Roman" w:eastAsia="宋体" w:cs="Times New Roman"/>
                <w:b w:val="0"/>
                <w:bCs w:val="0"/>
                <w:color w:val="auto"/>
                <w:sz w:val="21"/>
                <w:szCs w:val="21"/>
                <w:highlight w:val="none"/>
                <w:lang w:val="en-US" w:eastAsia="zh-CN"/>
              </w:rPr>
              <w:t>DB32/4041</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2021</w:t>
            </w:r>
            <w:r>
              <w:rPr>
                <w:rFonts w:hint="eastAsia" w:cs="Times New Roman"/>
                <w:b w:val="0"/>
                <w:bCs w:val="0"/>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无组织</w:t>
            </w:r>
          </w:p>
          <w:p>
            <w:pPr>
              <w:pStyle w:val="29"/>
              <w:adjustRightInd w:val="0"/>
              <w:snapToGrid w:val="0"/>
              <w:spacing w:line="240" w:lineRule="auto"/>
              <w:ind w:left="0" w:leftChars="0" w:firstLine="0" w:firstLineChars="0"/>
              <w:jc w:val="center"/>
              <w:rPr>
                <w:rFonts w:hint="eastAsia" w:ascii="宋体" w:hAnsi="宋体" w:cs="宋体"/>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生产车间</w:t>
            </w:r>
            <w:r>
              <w:rPr>
                <w:rFonts w:hint="eastAsia" w:ascii="Times New Roman" w:hAnsi="Times New Roman" w:cs="Times New Roman"/>
                <w:sz w:val="21"/>
                <w:szCs w:val="21"/>
                <w:lang w:eastAsia="zh-CN"/>
              </w:rPr>
              <w:t>）</w:t>
            </w:r>
          </w:p>
        </w:tc>
        <w:tc>
          <w:tcPr>
            <w:tcW w:w="1473" w:type="dxa"/>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szCs w:val="21"/>
              </w:rPr>
              <w:t>非甲烷总烃</w:t>
            </w:r>
          </w:p>
        </w:tc>
        <w:tc>
          <w:tcPr>
            <w:tcW w:w="1638" w:type="dxa"/>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szCs w:val="21"/>
                <w:lang w:eastAsia="zh-CN"/>
              </w:rPr>
              <w:t>加强通风</w:t>
            </w:r>
          </w:p>
        </w:tc>
        <w:tc>
          <w:tcPr>
            <w:tcW w:w="2156" w:type="dxa"/>
            <w:noWrap w:val="0"/>
            <w:vAlign w:val="center"/>
          </w:tcPr>
          <w:p>
            <w:pPr>
              <w:adjustRightInd w:val="0"/>
              <w:snapToGrid w:val="0"/>
              <w:jc w:val="center"/>
              <w:rPr>
                <w:rFonts w:hint="eastAsia" w:ascii="宋体" w:hAnsi="宋体" w:cs="宋体"/>
                <w:szCs w:val="21"/>
              </w:rPr>
            </w:pPr>
            <w:r>
              <w:rPr>
                <w:rFonts w:hint="eastAsia" w:cs="Times New Roman"/>
                <w:b w:val="0"/>
                <w:bCs w:val="0"/>
                <w:color w:val="auto"/>
                <w:sz w:val="21"/>
                <w:szCs w:val="21"/>
                <w:highlight w:val="none"/>
                <w:lang w:val="en-US" w:eastAsia="zh-CN"/>
              </w:rPr>
              <w:t>《大气污染物综合排放标准》（</w:t>
            </w:r>
            <w:r>
              <w:rPr>
                <w:rFonts w:hint="eastAsia" w:ascii="Times New Roman" w:hAnsi="Times New Roman" w:eastAsia="宋体" w:cs="Times New Roman"/>
                <w:b w:val="0"/>
                <w:bCs w:val="0"/>
                <w:color w:val="auto"/>
                <w:sz w:val="21"/>
                <w:szCs w:val="21"/>
                <w:highlight w:val="none"/>
                <w:lang w:val="en-US" w:eastAsia="zh-CN"/>
              </w:rPr>
              <w:t>DB32/4041</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2021</w:t>
            </w:r>
            <w:r>
              <w:rPr>
                <w:rFonts w:hint="eastAsia" w:cs="Times New Roman"/>
                <w:b w:val="0"/>
                <w:bCs w:val="0"/>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755" w:type="dxa"/>
            <w:vMerge w:val="restart"/>
            <w:noWrap w:val="0"/>
            <w:vAlign w:val="center"/>
          </w:tcPr>
          <w:p>
            <w:pPr>
              <w:pStyle w:val="29"/>
              <w:adjustRightInd w:val="0"/>
              <w:snapToGrid w:val="0"/>
              <w:spacing w:line="240" w:lineRule="auto"/>
              <w:ind w:left="0" w:leftChars="0" w:firstLine="0" w:firstLineChars="0"/>
              <w:jc w:val="center"/>
              <w:rPr>
                <w:rFonts w:hint="eastAsia" w:ascii="宋体" w:hAnsi="宋体" w:cs="宋体"/>
                <w:szCs w:val="21"/>
              </w:rPr>
            </w:pPr>
            <w:r>
              <w:rPr>
                <w:rFonts w:hint="default" w:ascii="Times New Roman" w:hAnsi="Times New Roman" w:cs="Times New Roman"/>
                <w:sz w:val="21"/>
                <w:szCs w:val="21"/>
              </w:rPr>
              <w:t>生活污水</w:t>
            </w:r>
          </w:p>
        </w:tc>
        <w:tc>
          <w:tcPr>
            <w:tcW w:w="1473" w:type="dxa"/>
            <w:noWrap w:val="0"/>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color w:val="auto"/>
                <w:sz w:val="21"/>
                <w:szCs w:val="21"/>
                <w:highlight w:val="none"/>
              </w:rPr>
              <w:t>pH</w:t>
            </w:r>
          </w:p>
        </w:tc>
        <w:tc>
          <w:tcPr>
            <w:tcW w:w="1638"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接管市政管网</w:t>
            </w:r>
            <w:r>
              <w:rPr>
                <w:rFonts w:hint="eastAsia" w:ascii="宋体" w:hAnsi="宋体" w:cs="宋体"/>
                <w:szCs w:val="21"/>
                <w:lang w:val="en-US" w:eastAsia="zh-CN"/>
              </w:rPr>
              <w:t>后排入排入园区污水处理厂处理达标后，尾水排入吴淞江</w:t>
            </w:r>
          </w:p>
        </w:tc>
        <w:tc>
          <w:tcPr>
            <w:tcW w:w="2156" w:type="dxa"/>
            <w:vMerge w:val="restart"/>
            <w:noWrap w:val="0"/>
            <w:vAlign w:val="center"/>
          </w:tcPr>
          <w:p>
            <w:pPr>
              <w:adjustRightInd w:val="0"/>
              <w:snapToGrid w:val="0"/>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《污水综合排放标准》（GB8978-1996）</w:t>
            </w:r>
          </w:p>
          <w:p>
            <w:pPr>
              <w:adjustRightInd w:val="0"/>
              <w:snapToGrid w:val="0"/>
              <w:jc w:val="center"/>
              <w:rPr>
                <w:rFonts w:hint="eastAsia" w:ascii="宋体" w:hAnsi="宋体" w:cs="宋体"/>
                <w:szCs w:val="21"/>
              </w:rPr>
            </w:pPr>
            <w:r>
              <w:rPr>
                <w:rFonts w:hint="default" w:ascii="Times New Roman" w:hAnsi="Times New Roman" w:cs="Times New Roman"/>
                <w:szCs w:val="21"/>
                <w:lang w:val="en-US" w:eastAsia="zh-CN"/>
              </w:rPr>
              <w:t>《污水排入城镇下水道水质标准》（GB/T 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continue"/>
            <w:noWrap w:val="0"/>
            <w:vAlign w:val="center"/>
          </w:tcPr>
          <w:p>
            <w:pPr>
              <w:pStyle w:val="29"/>
              <w:adjustRightInd w:val="0"/>
              <w:snapToGrid w:val="0"/>
              <w:spacing w:line="240" w:lineRule="auto"/>
              <w:ind w:left="0" w:leftChars="0" w:firstLine="0" w:firstLineChars="0"/>
              <w:jc w:val="center"/>
              <w:rPr>
                <w:rFonts w:hint="default" w:ascii="Times New Roman" w:hAnsi="Times New Roman" w:cs="Times New Roman"/>
                <w:sz w:val="21"/>
                <w:szCs w:val="21"/>
              </w:rPr>
            </w:pPr>
          </w:p>
        </w:tc>
        <w:tc>
          <w:tcPr>
            <w:tcW w:w="147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COD</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default" w:ascii="Times New Roman" w:hAnsi="Times New Roman" w:cs="Times New Roman"/>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continue"/>
            <w:noWrap w:val="0"/>
            <w:vAlign w:val="center"/>
          </w:tcPr>
          <w:p>
            <w:pPr>
              <w:pStyle w:val="29"/>
              <w:adjustRightInd w:val="0"/>
              <w:snapToGrid w:val="0"/>
              <w:spacing w:line="240" w:lineRule="auto"/>
              <w:ind w:firstLine="480" w:firstLineChars="200"/>
              <w:rPr>
                <w:rFonts w:hint="eastAsia" w:ascii="宋体" w:hAnsi="宋体" w:cs="宋体"/>
                <w:szCs w:val="21"/>
              </w:rPr>
            </w:pPr>
          </w:p>
        </w:tc>
        <w:tc>
          <w:tcPr>
            <w:tcW w:w="1473" w:type="dxa"/>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szCs w:val="21"/>
              </w:rPr>
              <w:t>SS</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continue"/>
            <w:noWrap w:val="0"/>
            <w:vAlign w:val="center"/>
          </w:tcPr>
          <w:p>
            <w:pPr>
              <w:pStyle w:val="29"/>
              <w:adjustRightInd w:val="0"/>
              <w:snapToGrid w:val="0"/>
              <w:spacing w:line="240" w:lineRule="auto"/>
              <w:ind w:firstLine="480" w:firstLineChars="200"/>
              <w:rPr>
                <w:rFonts w:hint="eastAsia" w:ascii="宋体" w:hAnsi="宋体" w:cs="宋体"/>
                <w:szCs w:val="21"/>
              </w:rPr>
            </w:pPr>
          </w:p>
        </w:tc>
        <w:tc>
          <w:tcPr>
            <w:tcW w:w="1473" w:type="dxa"/>
            <w:noWrap w:val="0"/>
            <w:vAlign w:val="center"/>
          </w:tcPr>
          <w:p>
            <w:pPr>
              <w:adjustRightInd w:val="0"/>
              <w:snapToGrid w:val="0"/>
              <w:jc w:val="center"/>
              <w:rPr>
                <w:rFonts w:hint="eastAsia" w:ascii="宋体" w:hAnsi="宋体" w:cs="宋体"/>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continue"/>
            <w:noWrap w:val="0"/>
            <w:vAlign w:val="center"/>
          </w:tcPr>
          <w:p>
            <w:pPr>
              <w:pStyle w:val="29"/>
              <w:adjustRightInd w:val="0"/>
              <w:snapToGrid w:val="0"/>
              <w:spacing w:line="240" w:lineRule="auto"/>
              <w:ind w:firstLine="480" w:firstLineChars="200"/>
              <w:rPr>
                <w:rFonts w:hint="eastAsia" w:ascii="宋体" w:hAnsi="宋体" w:cs="宋体"/>
                <w:szCs w:val="21"/>
              </w:rPr>
            </w:pPr>
          </w:p>
        </w:tc>
        <w:tc>
          <w:tcPr>
            <w:tcW w:w="147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TP</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restart"/>
            <w:noWrap w:val="0"/>
            <w:vAlign w:val="center"/>
          </w:tcPr>
          <w:p>
            <w:pPr>
              <w:pStyle w:val="29"/>
              <w:adjustRightInd w:val="0"/>
              <w:snapToGrid w:val="0"/>
              <w:spacing w:line="240" w:lineRule="auto"/>
              <w:jc w:val="center"/>
              <w:rPr>
                <w:rFonts w:hint="eastAsia" w:ascii="宋体" w:hAnsi="宋体" w:cs="宋体"/>
                <w:szCs w:val="21"/>
              </w:rPr>
            </w:pPr>
            <w:r>
              <w:rPr>
                <w:rFonts w:hint="eastAsia" w:ascii="Times New Roman" w:hAnsi="Times New Roman" w:eastAsia="宋体" w:cs="Times New Roman"/>
                <w:sz w:val="21"/>
                <w:szCs w:val="21"/>
                <w:lang w:val="en-US" w:eastAsia="zh-CN"/>
              </w:rPr>
              <w:t>循环冷却水</w:t>
            </w:r>
          </w:p>
        </w:tc>
        <w:tc>
          <w:tcPr>
            <w:tcW w:w="147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color w:val="auto"/>
                <w:sz w:val="21"/>
                <w:szCs w:val="21"/>
                <w:highlight w:val="none"/>
              </w:rPr>
              <w:t>pH</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continue"/>
            <w:noWrap w:val="0"/>
            <w:vAlign w:val="center"/>
          </w:tcPr>
          <w:p>
            <w:pPr>
              <w:pStyle w:val="29"/>
              <w:adjustRightInd w:val="0"/>
              <w:snapToGrid w:val="0"/>
              <w:spacing w:line="240" w:lineRule="auto"/>
              <w:ind w:firstLine="480" w:firstLineChars="200"/>
              <w:rPr>
                <w:rFonts w:hint="eastAsia" w:ascii="宋体" w:hAnsi="宋体" w:cs="宋体"/>
                <w:szCs w:val="21"/>
              </w:rPr>
            </w:pPr>
          </w:p>
        </w:tc>
        <w:tc>
          <w:tcPr>
            <w:tcW w:w="147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COD</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vMerge w:val="continue"/>
            <w:noWrap w:val="0"/>
            <w:vAlign w:val="center"/>
          </w:tcPr>
          <w:p>
            <w:pPr>
              <w:pStyle w:val="29"/>
              <w:adjustRightInd w:val="0"/>
              <w:snapToGrid w:val="0"/>
              <w:spacing w:line="240" w:lineRule="auto"/>
              <w:ind w:firstLine="480" w:firstLineChars="200"/>
              <w:rPr>
                <w:rFonts w:hint="eastAsia" w:ascii="宋体" w:hAnsi="宋体" w:cs="宋体"/>
                <w:szCs w:val="21"/>
              </w:rPr>
            </w:pPr>
          </w:p>
        </w:tc>
        <w:tc>
          <w:tcPr>
            <w:tcW w:w="147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SS</w:t>
            </w: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755" w:type="dxa"/>
            <w:noWrap w:val="0"/>
            <w:vAlign w:val="center"/>
          </w:tcPr>
          <w:p>
            <w:pPr>
              <w:adjustRightInd w:val="0"/>
              <w:snapToGrid w:val="0"/>
              <w:jc w:val="center"/>
              <w:rPr>
                <w:rFonts w:hint="eastAsia" w:ascii="宋体" w:hAnsi="宋体" w:cs="宋体"/>
                <w:szCs w:val="21"/>
              </w:rPr>
            </w:pPr>
            <w:r>
              <w:rPr>
                <w:rFonts w:hint="default"/>
                <w:lang w:eastAsia="zh-CN"/>
              </w:rPr>
              <w:t>注塑机</w:t>
            </w:r>
          </w:p>
        </w:tc>
        <w:tc>
          <w:tcPr>
            <w:tcW w:w="1473" w:type="dxa"/>
            <w:vMerge w:val="restart"/>
            <w:noWrap w:val="0"/>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sz w:val="21"/>
                <w:szCs w:val="21"/>
                <w:highlight w:val="none"/>
                <w:lang w:val="en-US" w:eastAsia="zh-CN"/>
              </w:rPr>
              <w:t>噪声</w:t>
            </w:r>
          </w:p>
        </w:tc>
        <w:tc>
          <w:tcPr>
            <w:tcW w:w="1638" w:type="dxa"/>
            <w:vMerge w:val="restart"/>
            <w:noWrap w:val="0"/>
            <w:vAlign w:val="center"/>
          </w:tcPr>
          <w:p>
            <w:pPr>
              <w:jc w:val="center"/>
              <w:rPr>
                <w:rFonts w:hint="eastAsia" w:ascii="宋体" w:hAnsi="宋体" w:cs="宋体"/>
                <w:szCs w:val="21"/>
              </w:rPr>
            </w:pPr>
            <w:r>
              <w:rPr>
                <w:rFonts w:hint="default" w:ascii="Times New Roman" w:hAnsi="Times New Roman" w:eastAsia="宋体" w:cs="Times New Roman"/>
                <w:color w:val="auto"/>
                <w:sz w:val="21"/>
                <w:szCs w:val="21"/>
                <w:highlight w:val="none"/>
              </w:rPr>
              <w:t>选用低噪声设备，采取置于室内、隔声减振、距离衰减等</w:t>
            </w:r>
          </w:p>
        </w:tc>
        <w:tc>
          <w:tcPr>
            <w:tcW w:w="2156" w:type="dxa"/>
            <w:vMerge w:val="restart"/>
            <w:noWrap w:val="0"/>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color w:val="auto"/>
                <w:sz w:val="21"/>
                <w:szCs w:val="21"/>
                <w:highlight w:val="none"/>
                <w:lang w:val="en-US" w:eastAsia="zh-CN"/>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eastAsia" w:ascii="宋体" w:hAnsi="宋体" w:cs="宋体"/>
                <w:szCs w:val="21"/>
              </w:rPr>
            </w:pPr>
            <w:r>
              <w:rPr>
                <w:rFonts w:hint="default"/>
                <w:lang w:eastAsia="zh-CN"/>
              </w:rPr>
              <w:t>粉碎机</w:t>
            </w:r>
          </w:p>
        </w:tc>
        <w:tc>
          <w:tcPr>
            <w:tcW w:w="1473" w:type="dxa"/>
            <w:vMerge w:val="continue"/>
            <w:noWrap w:val="0"/>
            <w:vAlign w:val="center"/>
          </w:tcPr>
          <w:p>
            <w:pPr>
              <w:adjustRightInd w:val="0"/>
              <w:snapToGrid w:val="0"/>
              <w:jc w:val="center"/>
              <w:rPr>
                <w:rFonts w:hint="eastAsia" w:ascii="宋体" w:hAnsi="宋体" w:cs="宋体"/>
                <w:szCs w:val="21"/>
              </w:rPr>
            </w:pP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vMerge w:val="continue"/>
            <w:noWrap w:val="0"/>
            <w:vAlign w:val="center"/>
          </w:tcPr>
          <w:p>
            <w:pPr>
              <w:adjustRightInd w:val="0"/>
              <w:snapToGrid w:val="0"/>
              <w:jc w:val="center"/>
              <w:rPr>
                <w:rFonts w:hint="eastAsia" w:ascii="宋体" w:hAnsi="宋体" w:cs="宋体"/>
                <w:szCs w:val="21"/>
              </w:rPr>
            </w:pPr>
          </w:p>
        </w:tc>
        <w:tc>
          <w:tcPr>
            <w:tcW w:w="1755" w:type="dxa"/>
            <w:noWrap w:val="0"/>
            <w:vAlign w:val="center"/>
          </w:tcPr>
          <w:p>
            <w:pPr>
              <w:adjustRightInd w:val="0"/>
              <w:snapToGrid w:val="0"/>
              <w:jc w:val="center"/>
              <w:rPr>
                <w:rFonts w:hint="eastAsia" w:ascii="宋体" w:hAnsi="宋体" w:cs="宋体"/>
                <w:szCs w:val="21"/>
              </w:rPr>
            </w:pPr>
            <w:r>
              <w:rPr>
                <w:rFonts w:hint="eastAsia"/>
                <w:lang w:val="en-US" w:eastAsia="zh-CN"/>
              </w:rPr>
              <w:t>空压</w:t>
            </w:r>
            <w:r>
              <w:rPr>
                <w:rFonts w:hint="default"/>
                <w:lang w:eastAsia="zh-CN"/>
              </w:rPr>
              <w:t>机</w:t>
            </w:r>
          </w:p>
        </w:tc>
        <w:tc>
          <w:tcPr>
            <w:tcW w:w="1473" w:type="dxa"/>
            <w:vMerge w:val="continue"/>
            <w:noWrap w:val="0"/>
            <w:vAlign w:val="center"/>
          </w:tcPr>
          <w:p>
            <w:pPr>
              <w:adjustRightInd w:val="0"/>
              <w:snapToGrid w:val="0"/>
              <w:jc w:val="center"/>
              <w:rPr>
                <w:rFonts w:hint="eastAsia" w:ascii="宋体" w:hAnsi="宋体" w:cs="宋体"/>
                <w:szCs w:val="21"/>
              </w:rPr>
            </w:pPr>
          </w:p>
        </w:tc>
        <w:tc>
          <w:tcPr>
            <w:tcW w:w="1638" w:type="dxa"/>
            <w:vMerge w:val="continue"/>
            <w:noWrap w:val="0"/>
            <w:vAlign w:val="center"/>
          </w:tcPr>
          <w:p>
            <w:pPr>
              <w:adjustRightInd w:val="0"/>
              <w:snapToGrid w:val="0"/>
              <w:jc w:val="center"/>
              <w:rPr>
                <w:rFonts w:hint="eastAsia" w:ascii="宋体" w:hAnsi="宋体" w:cs="宋体"/>
                <w:szCs w:val="21"/>
              </w:rPr>
            </w:pPr>
          </w:p>
        </w:tc>
        <w:tc>
          <w:tcPr>
            <w:tcW w:w="2156" w:type="dxa"/>
            <w:vMerge w:val="continue"/>
            <w:noWrap w:val="0"/>
            <w:vAlign w:val="center"/>
          </w:tcPr>
          <w:p>
            <w:pPr>
              <w:adjustRightInd w:val="0"/>
              <w:snapToGrid w:val="0"/>
              <w:jc w:val="center"/>
              <w:rPr>
                <w:rFonts w:hint="eastAsia"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1755"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1473"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1638"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c>
          <w:tcPr>
            <w:tcW w:w="2156" w:type="dxa"/>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7022" w:type="dxa"/>
            <w:gridSpan w:val="4"/>
            <w:noWrap w:val="0"/>
            <w:vAlign w:val="center"/>
          </w:tcPr>
          <w:p>
            <w:pPr>
              <w:adjustRightInd w:val="0"/>
              <w:snapToGrid w:val="0"/>
              <w:jc w:val="center"/>
              <w:rPr>
                <w:rFonts w:hint="eastAsia" w:ascii="宋体" w:hAnsi="宋体" w:cs="宋体"/>
                <w:szCs w:val="21"/>
              </w:rPr>
            </w:pPr>
            <w:r>
              <w:rPr>
                <w:rFonts w:hint="default" w:ascii="Times New Roman" w:hAnsi="Times New Roman" w:eastAsia="宋体" w:cs="Times New Roman"/>
                <w:sz w:val="21"/>
                <w:szCs w:val="21"/>
                <w:highlight w:val="none"/>
                <w:lang w:val="en-US" w:eastAsia="zh-CN"/>
              </w:rPr>
              <w:t>固废零排放。一般工业固废：</w:t>
            </w:r>
            <w:r>
              <w:rPr>
                <w:rFonts w:hint="eastAsia" w:ascii="Times New Roman" w:hAnsi="Times New Roman" w:cs="Times New Roman"/>
                <w:sz w:val="21"/>
                <w:szCs w:val="21"/>
                <w:lang w:val="en-US" w:eastAsia="zh-CN"/>
              </w:rPr>
              <w:t>废塑料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废包装材料</w:t>
            </w:r>
            <w:r>
              <w:rPr>
                <w:rFonts w:hint="default" w:ascii="Times New Roman" w:hAnsi="Times New Roman" w:eastAsia="宋体" w:cs="Times New Roman"/>
                <w:sz w:val="21"/>
                <w:szCs w:val="21"/>
                <w:highlight w:val="none"/>
                <w:lang w:val="en-US" w:eastAsia="zh-CN"/>
              </w:rPr>
              <w:t>收集后外售处理；危险废物：</w:t>
            </w:r>
            <w:r>
              <w:rPr>
                <w:rFonts w:hint="default" w:ascii="Times New Roman" w:hAnsi="Times New Roman" w:eastAsia="宋体" w:cs="Times New Roman"/>
                <w:sz w:val="21"/>
                <w:szCs w:val="21"/>
                <w:lang w:eastAsia="zh-CN"/>
              </w:rPr>
              <w:t>废液压油、废油</w:t>
            </w:r>
            <w:r>
              <w:rPr>
                <w:rFonts w:hint="eastAsia" w:ascii="Times New Roman" w:hAnsi="Times New Roman" w:cs="Times New Roman"/>
                <w:sz w:val="21"/>
                <w:szCs w:val="21"/>
                <w:lang w:val="en-US" w:eastAsia="zh-CN"/>
              </w:rPr>
              <w:t>桶、</w:t>
            </w:r>
            <w:r>
              <w:rPr>
                <w:rFonts w:hint="default" w:ascii="Times New Roman" w:hAnsi="Times New Roman" w:eastAsia="宋体" w:cs="Times New Roman"/>
                <w:sz w:val="21"/>
                <w:szCs w:val="21"/>
                <w:lang w:eastAsia="zh-CN"/>
              </w:rPr>
              <w:t>废化学品容器、</w:t>
            </w:r>
            <w:r>
              <w:rPr>
                <w:rFonts w:hint="default" w:ascii="Times New Roman" w:hAnsi="Times New Roman" w:eastAsia="宋体" w:cs="Times New Roman"/>
                <w:sz w:val="21"/>
                <w:szCs w:val="21"/>
              </w:rPr>
              <w:t>废活性炭</w:t>
            </w:r>
            <w:r>
              <w:rPr>
                <w:rFonts w:hint="default" w:ascii="Times New Roman" w:hAnsi="Times New Roman" w:eastAsia="宋体" w:cs="Times New Roman"/>
                <w:sz w:val="21"/>
                <w:szCs w:val="21"/>
                <w:highlight w:val="none"/>
                <w:lang w:val="en-US" w:eastAsia="zh-CN"/>
              </w:rPr>
              <w:t>委托有资质的单位处理；</w:t>
            </w:r>
            <w:r>
              <w:rPr>
                <w:rFonts w:hint="default" w:ascii="Times New Roman" w:hAnsi="Times New Roman" w:eastAsia="宋体" w:cs="Times New Roman"/>
                <w:sz w:val="21"/>
                <w:szCs w:val="21"/>
                <w:highlight w:val="none"/>
              </w:rPr>
              <w:t>生活垃圾</w:t>
            </w:r>
            <w:r>
              <w:rPr>
                <w:rFonts w:hint="default" w:ascii="Times New Roman" w:hAnsi="Times New Roman" w:eastAsia="宋体" w:cs="Times New Roman"/>
                <w:sz w:val="21"/>
                <w:szCs w:val="21"/>
                <w:highlight w:val="none"/>
                <w:lang w:val="en-US" w:eastAsia="zh-CN"/>
              </w:rPr>
              <w:t>委托环卫清运。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土壤及地下水</w:t>
            </w:r>
          </w:p>
          <w:p>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022" w:type="dxa"/>
            <w:gridSpan w:val="4"/>
            <w:noWrap w:val="0"/>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①</w:t>
            </w:r>
            <w:r>
              <w:rPr>
                <w:rFonts w:hint="eastAsia" w:ascii="Times New Roman" w:hAnsi="Times New Roman" w:eastAsia="宋体" w:cs="Times New Roman"/>
                <w:sz w:val="21"/>
                <w:szCs w:val="21"/>
                <w:highlight w:val="none"/>
                <w:lang w:val="en-US" w:eastAsia="zh-CN"/>
              </w:rPr>
              <w:t>化学品</w:t>
            </w:r>
            <w:r>
              <w:rPr>
                <w:rFonts w:hint="eastAsia" w:cs="Times New Roman"/>
                <w:sz w:val="21"/>
                <w:szCs w:val="21"/>
                <w:highlight w:val="none"/>
                <w:lang w:val="en-US" w:eastAsia="zh-CN"/>
              </w:rPr>
              <w:t>库</w:t>
            </w:r>
            <w:r>
              <w:rPr>
                <w:rFonts w:hint="default" w:ascii="Times New Roman" w:hAnsi="Times New Roman" w:eastAsia="宋体" w:cs="Times New Roman"/>
                <w:sz w:val="21"/>
                <w:szCs w:val="21"/>
                <w:highlight w:val="none"/>
              </w:rPr>
              <w:t>地面</w:t>
            </w:r>
            <w:r>
              <w:rPr>
                <w:rFonts w:hint="default" w:ascii="Times New Roman" w:hAnsi="Times New Roman" w:eastAsia="宋体" w:cs="Times New Roman"/>
                <w:sz w:val="21"/>
                <w:szCs w:val="21"/>
                <w:highlight w:val="none"/>
                <w:lang w:val="en-US" w:eastAsia="zh-CN"/>
              </w:rPr>
              <w:t>铺设环氧地坪</w:t>
            </w:r>
            <w:r>
              <w:rPr>
                <w:rFonts w:hint="default" w:ascii="Times New Roman" w:hAnsi="Times New Roman" w:eastAsia="宋体" w:cs="Times New Roman"/>
                <w:sz w:val="21"/>
                <w:szCs w:val="21"/>
                <w:highlight w:val="none"/>
                <w:lang w:eastAsia="zh-CN"/>
              </w:rPr>
              <w:t>，并采取相应的防渗防漏措施；</w:t>
            </w:r>
            <w:r>
              <w:rPr>
                <w:rFonts w:hint="default" w:ascii="Times New Roman" w:hAnsi="Times New Roman" w:eastAsia="宋体" w:cs="Times New Roman"/>
                <w:sz w:val="21"/>
                <w:szCs w:val="21"/>
                <w:highlight w:val="none"/>
              </w:rPr>
              <w:t>固废</w:t>
            </w:r>
            <w:r>
              <w:rPr>
                <w:rFonts w:hint="eastAsia" w:ascii="Times New Roman" w:hAnsi="Times New Roman" w:eastAsia="宋体" w:cs="Times New Roman"/>
                <w:sz w:val="21"/>
                <w:szCs w:val="21"/>
                <w:highlight w:val="none"/>
                <w:lang w:val="en-US" w:eastAsia="zh-CN"/>
              </w:rPr>
              <w:t>分类</w:t>
            </w:r>
            <w:r>
              <w:rPr>
                <w:rFonts w:hint="default" w:ascii="Times New Roman" w:hAnsi="Times New Roman" w:eastAsia="宋体" w:cs="Times New Roman"/>
                <w:sz w:val="21"/>
                <w:szCs w:val="21"/>
                <w:highlight w:val="none"/>
              </w:rPr>
              <w:t>收集</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存放</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一般固废暂存于一般固废</w:t>
            </w:r>
            <w:r>
              <w:rPr>
                <w:rFonts w:hint="eastAsia" w:cs="Times New Roman"/>
                <w:sz w:val="21"/>
                <w:szCs w:val="21"/>
                <w:highlight w:val="none"/>
                <w:lang w:val="en-US" w:eastAsia="zh-CN"/>
              </w:rPr>
              <w:t>仓库</w:t>
            </w:r>
            <w:r>
              <w:rPr>
                <w:rFonts w:hint="eastAsia" w:ascii="Times New Roman" w:hAnsi="Times New Roman" w:eastAsia="宋体" w:cs="Times New Roman"/>
                <w:sz w:val="21"/>
                <w:szCs w:val="21"/>
                <w:highlight w:val="none"/>
                <w:lang w:val="en-US" w:eastAsia="zh-CN"/>
              </w:rPr>
              <w:t>，防风、防雨，地面进行硬化；</w:t>
            </w:r>
            <w:r>
              <w:rPr>
                <w:rFonts w:hint="default" w:ascii="Times New Roman" w:hAnsi="Times New Roman" w:eastAsia="宋体" w:cs="Times New Roman"/>
                <w:sz w:val="21"/>
                <w:szCs w:val="21"/>
                <w:highlight w:val="none"/>
              </w:rPr>
              <w:t>危险废物贮存于</w:t>
            </w:r>
            <w:r>
              <w:rPr>
                <w:rFonts w:hint="default" w:ascii="Times New Roman" w:hAnsi="Times New Roman" w:eastAsia="宋体" w:cs="Times New Roman"/>
                <w:sz w:val="21"/>
                <w:szCs w:val="21"/>
                <w:highlight w:val="none"/>
                <w:lang w:eastAsia="zh-CN"/>
              </w:rPr>
              <w:t>危废</w:t>
            </w:r>
            <w:r>
              <w:rPr>
                <w:rFonts w:hint="eastAsia" w:cs="Times New Roman"/>
                <w:sz w:val="21"/>
                <w:szCs w:val="21"/>
                <w:highlight w:val="none"/>
                <w:lang w:val="en-US" w:eastAsia="zh-CN"/>
              </w:rPr>
              <w:t>仓库</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sz w:val="21"/>
                <w:szCs w:val="21"/>
                <w:highlight w:val="none"/>
                <w:lang w:val="en-US" w:eastAsia="zh-CN"/>
              </w:rPr>
              <w:t>液态危废采用密闭桶装储存，</w:t>
            </w:r>
            <w:r>
              <w:rPr>
                <w:rFonts w:hint="default" w:ascii="Times New Roman" w:hAnsi="Times New Roman" w:eastAsia="宋体" w:cs="Times New Roman"/>
                <w:sz w:val="21"/>
                <w:szCs w:val="21"/>
                <w:highlight w:val="none"/>
              </w:rPr>
              <w:t>并采用</w:t>
            </w:r>
            <w:r>
              <w:rPr>
                <w:rFonts w:hint="default" w:ascii="Times New Roman" w:hAnsi="Times New Roman" w:eastAsia="宋体" w:cs="Times New Roman"/>
                <w:sz w:val="21"/>
                <w:szCs w:val="21"/>
                <w:highlight w:val="none"/>
                <w:lang w:val="en-US" w:eastAsia="zh-CN"/>
              </w:rPr>
              <w:t>防泄漏</w:t>
            </w:r>
            <w:r>
              <w:rPr>
                <w:rFonts w:hint="default" w:ascii="Times New Roman" w:hAnsi="Times New Roman" w:eastAsia="宋体" w:cs="Times New Roman"/>
                <w:sz w:val="21"/>
                <w:szCs w:val="21"/>
                <w:highlight w:val="none"/>
              </w:rPr>
              <w:t>托盘放置液态危废</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地面</w:t>
            </w:r>
            <w:r>
              <w:rPr>
                <w:rFonts w:hint="default" w:ascii="Times New Roman" w:hAnsi="Times New Roman" w:eastAsia="宋体" w:cs="Times New Roman"/>
                <w:sz w:val="21"/>
                <w:szCs w:val="21"/>
                <w:highlight w:val="none"/>
                <w:lang w:val="en-US" w:eastAsia="zh-CN"/>
              </w:rPr>
              <w:t>铺设</w:t>
            </w:r>
            <w:r>
              <w:rPr>
                <w:rFonts w:hint="default" w:ascii="Times New Roman" w:hAnsi="Times New Roman" w:eastAsia="宋体" w:cs="Times New Roman"/>
                <w:sz w:val="21"/>
                <w:szCs w:val="21"/>
                <w:highlight w:val="none"/>
              </w:rPr>
              <w:t>环氧地坪等</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做好防渗、防漏、防腐蚀、防晒、防淋等</w:t>
            </w:r>
            <w:r>
              <w:rPr>
                <w:rFonts w:hint="default" w:ascii="Times New Roman" w:hAnsi="Times New Roman" w:eastAsia="宋体" w:cs="Times New Roman"/>
                <w:sz w:val="21"/>
                <w:szCs w:val="21"/>
                <w:highlight w:val="none"/>
                <w:lang w:val="en-US" w:eastAsia="zh-CN"/>
              </w:rPr>
              <w:t>措施</w:t>
            </w:r>
            <w:r>
              <w:rPr>
                <w:rFonts w:hint="default" w:ascii="Times New Roman" w:hAnsi="Times New Roman" w:eastAsia="宋体" w:cs="Times New Roman"/>
                <w:sz w:val="21"/>
                <w:szCs w:val="21"/>
                <w:highlight w:val="none"/>
              </w:rPr>
              <w:t>；</w:t>
            </w:r>
          </w:p>
          <w:p>
            <w:pPr>
              <w:adjustRightInd w:val="0"/>
              <w:snapToGrid w:val="0"/>
              <w:jc w:val="left"/>
              <w:rPr>
                <w:rFonts w:hint="eastAsia" w:ascii="宋体" w:hAnsi="宋体" w:cs="宋体"/>
                <w:szCs w:val="21"/>
              </w:rPr>
            </w:pPr>
            <w:r>
              <w:rPr>
                <w:rFonts w:hint="default" w:ascii="Times New Roman" w:hAnsi="Times New Roman" w:eastAsia="宋体" w:cs="Times New Roman"/>
                <w:sz w:val="21"/>
                <w:szCs w:val="21"/>
                <w:highlight w:val="none"/>
              </w:rPr>
              <w:t>②</w:t>
            </w:r>
            <w:r>
              <w:rPr>
                <w:rFonts w:hint="default" w:ascii="Times New Roman" w:hAnsi="Times New Roman" w:eastAsia="宋体" w:cs="Times New Roman"/>
                <w:sz w:val="21"/>
                <w:szCs w:val="21"/>
                <w:highlight w:val="none"/>
                <w:lang w:eastAsia="zh-CN"/>
              </w:rPr>
              <w:t>生产过程严格控制，定期对设备等进行检修，防止跑、冒、滴、漏现象发生；</w:t>
            </w:r>
            <w:r>
              <w:rPr>
                <w:rFonts w:hint="default" w:ascii="Times New Roman" w:hAnsi="Times New Roman" w:eastAsia="宋体" w:cs="Times New Roman"/>
                <w:sz w:val="21"/>
                <w:szCs w:val="21"/>
                <w:highlight w:val="none"/>
                <w:lang w:val="en-US" w:eastAsia="zh-CN"/>
              </w:rPr>
              <w:t>企业</w:t>
            </w:r>
            <w:r>
              <w:rPr>
                <w:rFonts w:hint="default" w:ascii="Times New Roman" w:hAnsi="Times New Roman" w:eastAsia="宋体" w:cs="Times New Roman"/>
                <w:sz w:val="21"/>
                <w:szCs w:val="21"/>
                <w:highlight w:val="none"/>
                <w:lang w:eastAsia="zh-CN"/>
              </w:rPr>
              <w:t>原辅料均堆放在</w:t>
            </w:r>
            <w:r>
              <w:rPr>
                <w:rFonts w:hint="default" w:ascii="Times New Roman" w:hAnsi="Times New Roman" w:eastAsia="宋体" w:cs="Times New Roman"/>
                <w:sz w:val="21"/>
                <w:szCs w:val="21"/>
                <w:highlight w:val="none"/>
                <w:lang w:val="en-US" w:eastAsia="zh-CN"/>
              </w:rPr>
              <w:t>车间内</w:t>
            </w:r>
            <w:r>
              <w:rPr>
                <w:rFonts w:hint="default" w:ascii="Times New Roman" w:hAnsi="Times New Roman" w:eastAsia="宋体" w:cs="Times New Roman"/>
                <w:sz w:val="21"/>
                <w:szCs w:val="21"/>
                <w:highlight w:val="none"/>
                <w:lang w:eastAsia="zh-CN"/>
              </w:rPr>
              <w:t>，分区存放，能有效避免雨水淋溶等对土壤和地表水造成二次污染；厂区内污水管网均采用管道输送，清污分流，保证污水能够顺畅排入市政污水管网。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noWrap w:val="0"/>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022" w:type="dxa"/>
            <w:gridSpan w:val="4"/>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022" w:type="dxa"/>
            <w:gridSpan w:val="4"/>
            <w:noWrap w:val="0"/>
            <w:vAlign w:val="center"/>
          </w:tcPr>
          <w:p>
            <w:pPr>
              <w:adjustRightInd w:val="0"/>
              <w:snapToGrid w:val="0"/>
              <w:jc w:val="left"/>
              <w:rPr>
                <w:rFonts w:hint="default"/>
              </w:rPr>
            </w:pPr>
            <w:r>
              <w:rPr>
                <w:rFonts w:hint="default"/>
              </w:rPr>
              <w:t>①企业总平面布置严格遵守国家颁布的有关防火和安全等方面规范和规定，采取</w:t>
            </w:r>
            <w:r>
              <w:rPr>
                <w:rFonts w:hint="eastAsia"/>
                <w:lang w:val="en-US" w:eastAsia="zh-CN"/>
              </w:rPr>
              <w:t>化学品库</w:t>
            </w:r>
            <w:r>
              <w:rPr>
                <w:rFonts w:hint="default"/>
              </w:rPr>
              <w:t>、生产车间与办公区分离，设置明显的标志；</w:t>
            </w:r>
          </w:p>
          <w:p>
            <w:pPr>
              <w:adjustRightInd w:val="0"/>
              <w:snapToGrid w:val="0"/>
              <w:jc w:val="left"/>
              <w:rPr>
                <w:rFonts w:hint="default"/>
              </w:rPr>
            </w:pPr>
            <w:r>
              <w:rPr>
                <w:rFonts w:hint="default"/>
              </w:rPr>
              <w:t>②</w:t>
            </w:r>
            <w:r>
              <w:rPr>
                <w:rFonts w:hint="eastAsia"/>
                <w:lang w:val="en-US" w:eastAsia="zh-CN"/>
              </w:rPr>
              <w:t>化学品库</w:t>
            </w:r>
            <w:r>
              <w:rPr>
                <w:rFonts w:hint="default"/>
              </w:rPr>
              <w:t>设专人管理和定期检查，装卸和搬运时，轻装轻卸</w:t>
            </w:r>
            <w:r>
              <w:rPr>
                <w:rFonts w:hint="eastAsia"/>
                <w:lang w:eastAsia="zh-CN"/>
              </w:rPr>
              <w:t>，</w:t>
            </w:r>
            <w:r>
              <w:rPr>
                <w:rFonts w:hint="default"/>
              </w:rPr>
              <w:t>做到干燥、阴凉、通风，地面防潮、防渗；液体原料存放在专用托盘中，一旦发生泄漏，能控制在托盘内；项目在生产过程中产生的废包材、标签等，遇明火易发生火灾，存储区设置明显禁止明火的警示标识，并在厂区内配备完善的火灾报警系统、消防系统；</w:t>
            </w:r>
          </w:p>
          <w:p>
            <w:pPr>
              <w:adjustRightInd w:val="0"/>
              <w:snapToGrid w:val="0"/>
              <w:jc w:val="left"/>
              <w:rPr>
                <w:rFonts w:hint="eastAsia"/>
                <w:lang w:eastAsia="zh-CN"/>
              </w:rPr>
            </w:pPr>
            <w:r>
              <w:rPr>
                <w:rFonts w:hint="default"/>
              </w:rPr>
              <w:t>③加强对化学品储存及使用的管理，管理人员必须进行安全教育，经考试合格和实习合格后由公司主管部门发给安全作业证才能上岗操作；化学品入库前必须进行检查，发现问题及时处理</w:t>
            </w:r>
            <w:r>
              <w:rPr>
                <w:rFonts w:hint="eastAsia"/>
                <w:lang w:eastAsia="zh-CN"/>
              </w:rPr>
              <w:t>；</w:t>
            </w:r>
          </w:p>
          <w:p>
            <w:pPr>
              <w:adjustRightInd w:val="0"/>
              <w:snapToGrid w:val="0"/>
              <w:jc w:val="left"/>
              <w:rPr>
                <w:rFonts w:hint="default"/>
              </w:rPr>
            </w:pPr>
            <w:r>
              <w:rPr>
                <w:rFonts w:hint="default"/>
              </w:rPr>
              <w:t>④企业应加强设备管理，确保设备完好。制定操作管理制度，工作人员培训上岗，规范生产操作，并定期检查各设备及运行情况，防止“跑、冒、滴、漏”的发生。制定安全生产制度，严格按照程序生产，确保安全生产；加强员工规范操作培训，提高操作人员的防范意识，非操作人员禁止进入生产区域</w:t>
            </w:r>
            <w:r>
              <w:rPr>
                <w:rFonts w:hint="eastAsia"/>
                <w:lang w:eastAsia="zh-CN"/>
              </w:rPr>
              <w:t>；</w:t>
            </w:r>
          </w:p>
          <w:p>
            <w:pPr>
              <w:adjustRightInd w:val="0"/>
              <w:snapToGrid w:val="0"/>
              <w:jc w:val="left"/>
              <w:rPr>
                <w:rFonts w:hint="eastAsia"/>
                <w:color w:val="000000" w:themeColor="text1"/>
                <w:lang w:eastAsia="zh-CN"/>
                <w14:textFill>
                  <w14:solidFill>
                    <w14:schemeClr w14:val="tx1"/>
                  </w14:solidFill>
                </w14:textFill>
              </w:rPr>
            </w:pPr>
            <w:r>
              <w:rPr>
                <w:rFonts w:hint="default"/>
              </w:rPr>
              <w:t>⑤企业</w:t>
            </w:r>
            <w:r>
              <w:rPr>
                <w:rFonts w:hint="default"/>
                <w:lang w:eastAsia="zh-CN"/>
              </w:rPr>
              <w:t>危废</w:t>
            </w:r>
            <w:r>
              <w:rPr>
                <w:rFonts w:hint="eastAsia"/>
                <w:lang w:val="en-US" w:eastAsia="zh-CN"/>
              </w:rPr>
              <w:t>仓库</w:t>
            </w:r>
            <w:r>
              <w:rPr>
                <w:rFonts w:hint="default"/>
              </w:rPr>
              <w:t>按照《危险废物贮存污染控制标准》（GB 18597-2001）（2013年修订）建设管理，设置防风、防雨、防晒、防渗等措施</w:t>
            </w:r>
            <w:r>
              <w:rPr>
                <w:rFonts w:hint="eastAsia"/>
                <w:lang w:eastAsia="zh-CN"/>
              </w:rPr>
              <w:t>；</w:t>
            </w:r>
            <w:r>
              <w:rPr>
                <w:rFonts w:hint="default"/>
              </w:rPr>
              <w:t>项目产生的危险固废进行科学的分类收集；对危废进行规范的贮存和运送；危废转交及运送过程中，严格执行《危险废物转移联单管理办法》中的相关条款，确保危废安全转移运输</w:t>
            </w:r>
            <w:r>
              <w:rPr>
                <w:rFonts w:hint="eastAsia"/>
                <w:lang w:eastAsia="zh-CN"/>
              </w:rPr>
              <w:t>；</w:t>
            </w:r>
          </w:p>
          <w:p>
            <w:pPr>
              <w:adjustRightInd w:val="0"/>
              <w:snapToGrid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⑥在雨污</w:t>
            </w:r>
            <w:r>
              <w:rPr>
                <w:rFonts w:hint="eastAsia"/>
                <w:color w:val="000000" w:themeColor="text1"/>
                <w:lang w:val="en-US" w:eastAsia="zh-CN"/>
                <w14:textFill>
                  <w14:solidFill>
                    <w14:schemeClr w14:val="tx1"/>
                  </w14:solidFill>
                </w14:textFill>
              </w:rPr>
              <w:t>水排放</w:t>
            </w:r>
            <w:r>
              <w:rPr>
                <w:rFonts w:hint="default"/>
                <w:color w:val="000000" w:themeColor="text1"/>
                <w14:textFill>
                  <w14:solidFill>
                    <w14:schemeClr w14:val="tx1"/>
                  </w14:solidFill>
                </w14:textFill>
              </w:rPr>
              <w:t>口设置可控的截留措施，</w:t>
            </w:r>
            <w:r>
              <w:rPr>
                <w:rFonts w:hint="eastAsia" w:cs="Times New Roman"/>
                <w:color w:val="000000" w:themeColor="text1"/>
                <w:sz w:val="21"/>
                <w:szCs w:val="21"/>
                <w:highlight w:val="none"/>
                <w:lang w:val="en-US" w:eastAsia="zh-CN"/>
                <w14:textFill>
                  <w14:solidFill>
                    <w14:schemeClr w14:val="tx1"/>
                  </w14:solidFill>
                </w14:textFill>
              </w:rPr>
              <w:t>安装应急阀，</w:t>
            </w:r>
            <w:r>
              <w:rPr>
                <w:rFonts w:hint="default"/>
                <w:color w:val="000000" w:themeColor="text1"/>
                <w14:textFill>
                  <w14:solidFill>
                    <w14:schemeClr w14:val="tx1"/>
                  </w14:solidFill>
                </w14:textFill>
              </w:rPr>
              <w:t>以防事故状态下，废水经管道外流至外环境造成污染。</w:t>
            </w:r>
          </w:p>
          <w:p>
            <w:pPr>
              <w:adjustRightInd w:val="0"/>
              <w:snapToGrid w:val="0"/>
              <w:jc w:val="left"/>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⑦</w:t>
            </w:r>
            <w:r>
              <w:rPr>
                <w:rFonts w:hint="eastAsia" w:ascii="Times New Roman" w:hAnsi="Times New Roman" w:cs="Times New Roman"/>
                <w:color w:val="000000" w:themeColor="text1"/>
                <w:lang w:val="en-US" w:eastAsia="zh-CN"/>
                <w14:textFill>
                  <w14:solidFill>
                    <w14:schemeClr w14:val="tx1"/>
                  </w14:solidFill>
                </w14:textFill>
              </w:rPr>
              <w:t>完善对废气处理设施的运行，维护及检修记录，并设置符合安全生产、事故防范的规定。</w:t>
            </w:r>
          </w:p>
          <w:p>
            <w:pPr>
              <w:adjustRightInd w:val="0"/>
              <w:snapToGrid w:val="0"/>
              <w:jc w:val="left"/>
              <w:rPr>
                <w:rFonts w:hint="eastAsia"/>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8 \* GB3 \* MERGEFORMAT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⑧</w:t>
            </w:r>
            <w:r>
              <w:rPr>
                <w:rFonts w:hint="eastAsia"/>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及时编制突发环境事件应急预案，组建应急小组，配备灭火器、黄沙等应急物资。员工定期开展应急演练和培训，提高企业突发环境事件应急能力。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8" w:type="dxa"/>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7022" w:type="dxa"/>
            <w:gridSpan w:val="4"/>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w:t>
            </w:r>
          </w:p>
        </w:tc>
      </w:tr>
    </w:tbl>
    <w:p>
      <w:pPr>
        <w:pStyle w:val="14"/>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20" w:firstLineChars="20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设项目符合产业政策和当地规划要求。项目设计布局基本合理，采取的污染防治措施可行有效，项目实施后污染物可实现达标排放，项目环境风险可防控，项目所需的排污总量在区域内进行调剂解决，项目建设对环境的影响可以接受，不会改变项目周围大气环境、水环境和声环境质量</w:t>
            </w:r>
            <w:r>
              <w:rPr>
                <w:rFonts w:hint="eastAsia" w:ascii="Times New Roman" w:hAnsi="Times New Roman" w:eastAsia="宋体" w:cs="Times New Roman"/>
                <w:b w:val="0"/>
                <w:bCs/>
                <w:color w:val="auto"/>
                <w:sz w:val="21"/>
                <w:szCs w:val="21"/>
                <w:highlight w:val="none"/>
                <w:lang w:val="en-US" w:eastAsia="zh-CN"/>
              </w:rPr>
              <w:t>等</w:t>
            </w:r>
            <w:r>
              <w:rPr>
                <w:rFonts w:hint="default" w:ascii="Times New Roman" w:hAnsi="Times New Roman" w:eastAsia="宋体" w:cs="Times New Roman"/>
                <w:b w:val="0"/>
                <w:bCs/>
                <w:color w:val="auto"/>
                <w:sz w:val="21"/>
                <w:szCs w:val="21"/>
                <w:highlight w:val="none"/>
              </w:rPr>
              <w:t>的现有功能要求。因此，从环境保护的角度来看，本项目的建设是可行的。</w:t>
            </w:r>
          </w:p>
          <w:p>
            <w:pPr>
              <w:spacing w:line="360" w:lineRule="auto"/>
              <w:rPr>
                <w:rFonts w:ascii="宋体" w:cs="宋体"/>
                <w:sz w:val="24"/>
              </w:rPr>
            </w:pPr>
          </w:p>
        </w:tc>
      </w:tr>
    </w:tbl>
    <w:p>
      <w:pPr>
        <w:pStyle w:val="6"/>
        <w:jc w:val="center"/>
        <w:rPr>
          <w:rFonts w:hint="eastAsia" w:ascii="Times New Roman" w:hAnsi="Times New Roman" w:eastAsia="宋体" w:cs="Times New Roman"/>
          <w:snapToGrid w:val="0"/>
          <w:color w:val="auto"/>
          <w:kern w:val="0"/>
          <w:sz w:val="30"/>
          <w:szCs w:val="30"/>
          <w:highlight w:val="none"/>
          <w:lang w:val="en-US" w:eastAsia="zh-CN" w:bidi="ar-SA"/>
        </w:rPr>
      </w:pPr>
    </w:p>
    <w:p>
      <w:pPr>
        <w:pStyle w:val="6"/>
        <w:jc w:val="center"/>
        <w:rPr>
          <w:rFonts w:hint="eastAsia" w:ascii="Times New Roman" w:hAnsi="Times New Roman" w:eastAsia="宋体" w:cs="Times New Roman"/>
          <w:snapToGrid w:val="0"/>
          <w:color w:val="auto"/>
          <w:kern w:val="0"/>
          <w:sz w:val="30"/>
          <w:szCs w:val="30"/>
          <w:highlight w:val="none"/>
          <w:lang w:val="en-US" w:eastAsia="zh-CN" w:bidi="ar-SA"/>
        </w:rPr>
      </w:pPr>
      <w:r>
        <w:rPr>
          <w:rFonts w:hint="eastAsia" w:ascii="Times New Roman" w:hAnsi="Times New Roman" w:eastAsia="宋体" w:cs="Times New Roman"/>
          <w:snapToGrid w:val="0"/>
          <w:color w:val="auto"/>
          <w:kern w:val="0"/>
          <w:sz w:val="30"/>
          <w:szCs w:val="30"/>
          <w:highlight w:val="none"/>
          <w:lang w:val="en-US" w:eastAsia="zh-CN" w:bidi="ar-SA"/>
        </w:rPr>
        <w:t>注释</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4" w:hRule="atLeast"/>
          <w:jc w:val="center"/>
        </w:trPr>
        <w:tc>
          <w:tcPr>
            <w:tcW w:w="8865" w:type="dxa"/>
            <w:noWrap w:val="0"/>
            <w:vAlign w:val="center"/>
          </w:tcPr>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本报告表附以下附图、附件：</w:t>
            </w:r>
          </w:p>
          <w:p>
            <w:pPr>
              <w:pStyle w:val="6"/>
              <w:keepNext w:val="0"/>
              <w:keepLines w:val="0"/>
              <w:pageBreakBefore w:val="0"/>
              <w:kinsoku/>
              <w:wordWrap/>
              <w:overflowPunct/>
              <w:topLinePunct w:val="0"/>
              <w:autoSpaceDE/>
              <w:autoSpaceDN/>
              <w:bidi w:val="0"/>
              <w:adjustRightInd/>
              <w:spacing w:before="0" w:after="0" w:line="360" w:lineRule="auto"/>
              <w:ind w:firstLine="420" w:firstLineChars="200"/>
              <w:textAlignment w:val="auto"/>
              <w:rPr>
                <w:rFonts w:hint="eastAsia"/>
                <w:color w:val="auto"/>
                <w:highlight w:val="none"/>
                <w:lang w:val="en-US" w:eastAsia="zh-CN"/>
              </w:rPr>
            </w:pP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 xml:space="preserve">附件1 </w:t>
            </w:r>
            <w:r>
              <w:rPr>
                <w:rFonts w:hint="default" w:ascii="Times New Roman" w:hAnsi="Times New Roman" w:eastAsia="宋体" w:cs="Times New Roman"/>
                <w:color w:val="auto"/>
                <w:highlight w:val="none"/>
                <w:lang w:val="en-US" w:eastAsia="zh-CN"/>
              </w:rPr>
              <w:t>备案证</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附件2 营业执照</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附件3 </w:t>
            </w:r>
            <w:r>
              <w:rPr>
                <w:rFonts w:hint="default" w:ascii="Times New Roman" w:hAnsi="Times New Roman" w:eastAsia="宋体" w:cs="Times New Roman"/>
                <w:color w:val="auto"/>
                <w:highlight w:val="none"/>
                <w:lang w:eastAsia="zh-CN"/>
              </w:rPr>
              <w:t>土地证、房产证</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 xml:space="preserve"> </w:t>
            </w:r>
            <w:r>
              <w:rPr>
                <w:rFonts w:hint="eastAsia" w:ascii="Times New Roman" w:hAnsi="Times New Roman" w:cs="Times New Roman"/>
                <w:color w:val="auto"/>
                <w:highlight w:val="none"/>
                <w:lang w:val="en-US" w:eastAsia="zh-CN"/>
              </w:rPr>
              <w:t>租赁合同</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历次环保审批意见</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危废协议</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噪声检测报告</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附件</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lang w:val="en-US" w:eastAsia="zh-CN"/>
              </w:rPr>
              <w:t>化学品检测报告</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9</w:t>
            </w:r>
            <w:r>
              <w:rPr>
                <w:rFonts w:hint="default" w:ascii="Times New Roman" w:hAnsi="Times New Roman" w:eastAsia="宋体" w:cs="Times New Roman"/>
                <w:color w:val="auto"/>
                <w:highlight w:val="none"/>
              </w:rPr>
              <w:t xml:space="preserve"> </w:t>
            </w:r>
            <w:r>
              <w:rPr>
                <w:rFonts w:hint="eastAsia" w:ascii="Times New Roman" w:hAnsi="Times New Roman" w:cs="Times New Roman"/>
                <w:color w:val="auto"/>
                <w:highlight w:val="none"/>
                <w:lang w:val="en-US" w:eastAsia="zh-CN"/>
              </w:rPr>
              <w:t>废气、废水</w:t>
            </w:r>
            <w:r>
              <w:rPr>
                <w:rFonts w:hint="eastAsia" w:ascii="Times New Roman" w:hAnsi="Times New Roman" w:eastAsia="宋体" w:cs="Times New Roman"/>
                <w:color w:val="auto"/>
                <w:highlight w:val="none"/>
                <w:lang w:val="en-US" w:eastAsia="zh-CN"/>
              </w:rPr>
              <w:t>检测报告</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r>
              <w:rPr>
                <w:rFonts w:hint="eastAsia"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rPr>
              <w:t xml:space="preserve"> 环评咨询委托书</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附件</w:t>
            </w:r>
            <w:r>
              <w:rPr>
                <w:rFonts w:hint="eastAsia"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环评报告建设单位确认书</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附件1</w:t>
            </w:r>
            <w:r>
              <w:rPr>
                <w:rFonts w:hint="eastAsia" w:ascii="Times New Roman" w:hAnsi="Times New Roman"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 xml:space="preserve"> 社区公式截图及公式结果说明</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附图一 项目地理位置图</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附图二 项目周边500米土地利用情况图</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附图三</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厂区平面布置图</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附图</w:t>
            </w:r>
            <w:r>
              <w:rPr>
                <w:rFonts w:hint="default" w:ascii="Times New Roman" w:hAnsi="Times New Roman" w:eastAsia="宋体" w:cs="Times New Roman"/>
                <w:color w:val="auto"/>
                <w:highlight w:val="none"/>
                <w:lang w:val="en-US" w:eastAsia="zh-CN"/>
              </w:rPr>
              <w:t>四 车间</w:t>
            </w:r>
            <w:r>
              <w:rPr>
                <w:rFonts w:hint="default" w:ascii="Times New Roman" w:hAnsi="Times New Roman" w:eastAsia="宋体" w:cs="Times New Roman"/>
                <w:color w:val="auto"/>
                <w:highlight w:val="none"/>
              </w:rPr>
              <w:t>平面布置图</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附图</w:t>
            </w:r>
            <w:r>
              <w:rPr>
                <w:rFonts w:hint="default" w:ascii="Times New Roman" w:hAnsi="Times New Roman" w:eastAsia="宋体" w:cs="Times New Roman"/>
                <w:color w:val="auto"/>
                <w:highlight w:val="none"/>
                <w:lang w:val="en-US" w:eastAsia="zh-CN"/>
              </w:rPr>
              <w:t>五</w:t>
            </w:r>
            <w:r>
              <w:rPr>
                <w:rFonts w:hint="default" w:ascii="Times New Roman" w:hAnsi="Times New Roman" w:eastAsia="宋体" w:cs="Times New Roman"/>
                <w:color w:val="auto"/>
                <w:highlight w:val="none"/>
              </w:rPr>
              <w:t xml:space="preserve"> 项目地四周现场照片</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附图</w:t>
            </w:r>
            <w:r>
              <w:rPr>
                <w:rFonts w:hint="default" w:ascii="Times New Roman" w:hAnsi="Times New Roman" w:eastAsia="宋体" w:cs="Times New Roman"/>
                <w:color w:val="auto"/>
                <w:highlight w:val="none"/>
                <w:lang w:val="en-US" w:eastAsia="zh-CN"/>
              </w:rPr>
              <w:t>六</w:t>
            </w:r>
            <w:r>
              <w:rPr>
                <w:rFonts w:hint="default" w:ascii="Times New Roman" w:hAnsi="Times New Roman" w:eastAsia="宋体" w:cs="Times New Roman"/>
                <w:color w:val="auto"/>
                <w:highlight w:val="none"/>
              </w:rPr>
              <w:t xml:space="preserve"> 苏州工业园区规划图</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附图</w:t>
            </w:r>
            <w:r>
              <w:rPr>
                <w:rFonts w:hint="eastAsia" w:ascii="Times New Roman" w:hAnsi="Times New Roman" w:cs="Times New Roman"/>
                <w:color w:val="auto"/>
                <w:highlight w:val="none"/>
                <w:lang w:val="en-US" w:eastAsia="zh-CN"/>
              </w:rPr>
              <w:t>七</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工程师现场踏勘照片</w:t>
            </w:r>
          </w:p>
          <w:p>
            <w:pPr>
              <w:pStyle w:val="29"/>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highlight w:val="none"/>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p>
          <w:p>
            <w:pPr>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025"/>
        <w:gridCol w:w="1550"/>
        <w:gridCol w:w="1418"/>
        <w:gridCol w:w="1276"/>
        <w:gridCol w:w="1701"/>
        <w:gridCol w:w="1559"/>
        <w:gridCol w:w="1761"/>
        <w:gridCol w:w="1724"/>
        <w:gridCol w:w="10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tcBorders>
              <w:tl2br w:val="single" w:color="auto" w:sz="4" w:space="0"/>
            </w:tcBorders>
            <w:noWrap w:val="0"/>
            <w:tcMar>
              <w:left w:w="28" w:type="dxa"/>
              <w:right w:w="28" w:type="dxa"/>
            </w:tcMar>
            <w:vAlign w:val="center"/>
          </w:tcPr>
          <w:p>
            <w:pPr>
              <w:pStyle w:val="28"/>
              <w:spacing w:beforeLines="0" w:afterLines="0" w:line="240" w:lineRule="auto"/>
              <w:jc w:val="right"/>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项目</w:t>
            </w:r>
          </w:p>
          <w:p>
            <w:pPr>
              <w:pStyle w:val="28"/>
              <w:spacing w:beforeLines="0" w:afterLines="0" w:line="240" w:lineRule="auto"/>
              <w:jc w:val="left"/>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分类</w:t>
            </w:r>
          </w:p>
        </w:tc>
        <w:tc>
          <w:tcPr>
            <w:tcW w:w="1550"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污染物名称</w:t>
            </w:r>
          </w:p>
        </w:tc>
        <w:tc>
          <w:tcPr>
            <w:tcW w:w="1418"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现有工程</w:t>
            </w:r>
          </w:p>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排放量（固体废物产生量）</w:t>
            </w:r>
            <w:r>
              <w:rPr>
                <w:rFonts w:hint="eastAsia" w:ascii="宋体" w:hAnsi="宋体" w:eastAsia="宋体" w:cs="宋体"/>
                <w:b/>
                <w:bCs/>
                <w:snapToGrid w:val="0"/>
                <w:color w:val="000000"/>
                <w:spacing w:val="-6"/>
                <w:kern w:val="21"/>
                <w:szCs w:val="21"/>
              </w:rPr>
              <w:fldChar w:fldCharType="begin"/>
            </w:r>
            <w:r>
              <w:rPr>
                <w:rFonts w:hint="eastAsia" w:ascii="宋体" w:hAnsi="宋体" w:eastAsia="宋体" w:cs="宋体"/>
                <w:b/>
                <w:bCs/>
                <w:snapToGrid w:val="0"/>
                <w:color w:val="000000"/>
                <w:spacing w:val="-6"/>
                <w:kern w:val="21"/>
                <w:szCs w:val="21"/>
              </w:rPr>
              <w:instrText xml:space="preserve"> = 1 \* GB3 \* MERGEFORMAT </w:instrText>
            </w:r>
            <w:r>
              <w:rPr>
                <w:rFonts w:hint="eastAsia" w:ascii="宋体" w:hAnsi="宋体" w:eastAsia="宋体" w:cs="宋体"/>
                <w:b/>
                <w:bCs/>
                <w:snapToGrid w:val="0"/>
                <w:color w:val="000000"/>
                <w:spacing w:val="-6"/>
                <w:kern w:val="21"/>
                <w:szCs w:val="21"/>
              </w:rPr>
              <w:fldChar w:fldCharType="separate"/>
            </w:r>
            <w:r>
              <w:rPr>
                <w:rFonts w:hint="eastAsia" w:ascii="宋体" w:hAnsi="宋体" w:eastAsia="宋体" w:cs="宋体"/>
                <w:b/>
                <w:bCs/>
                <w:kern w:val="2"/>
                <w:szCs w:val="21"/>
              </w:rPr>
              <w:t>①</w:t>
            </w:r>
            <w:r>
              <w:rPr>
                <w:rFonts w:hint="eastAsia" w:ascii="宋体" w:hAnsi="宋体" w:eastAsia="宋体" w:cs="宋体"/>
                <w:b/>
                <w:bCs/>
                <w:snapToGrid w:val="0"/>
                <w:color w:val="000000"/>
                <w:spacing w:val="-6"/>
                <w:kern w:val="21"/>
                <w:szCs w:val="21"/>
              </w:rPr>
              <w:fldChar w:fldCharType="end"/>
            </w:r>
          </w:p>
        </w:tc>
        <w:tc>
          <w:tcPr>
            <w:tcW w:w="1276"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现有工程</w:t>
            </w:r>
          </w:p>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许可排放量</w:t>
            </w:r>
          </w:p>
          <w:p>
            <w:pPr>
              <w:pStyle w:val="28"/>
              <w:spacing w:beforeLines="0" w:afterLines="0"/>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fldChar w:fldCharType="begin"/>
            </w:r>
            <w:r>
              <w:rPr>
                <w:rFonts w:hint="eastAsia" w:ascii="宋体" w:hAnsi="宋体" w:eastAsia="宋体" w:cs="宋体"/>
                <w:b/>
                <w:bCs/>
                <w:snapToGrid w:val="0"/>
                <w:color w:val="000000"/>
                <w:spacing w:val="-6"/>
                <w:kern w:val="21"/>
                <w:szCs w:val="21"/>
              </w:rPr>
              <w:instrText xml:space="preserve"> = 2 \* GB3 \* MERGEFORMAT </w:instrText>
            </w:r>
            <w:r>
              <w:rPr>
                <w:rFonts w:hint="eastAsia" w:ascii="宋体" w:hAnsi="宋体" w:eastAsia="宋体" w:cs="宋体"/>
                <w:b/>
                <w:bCs/>
                <w:snapToGrid w:val="0"/>
                <w:color w:val="000000"/>
                <w:spacing w:val="-6"/>
                <w:kern w:val="21"/>
                <w:szCs w:val="21"/>
              </w:rPr>
              <w:fldChar w:fldCharType="separate"/>
            </w:r>
            <w:r>
              <w:rPr>
                <w:rFonts w:hint="eastAsia" w:ascii="宋体" w:hAnsi="宋体" w:eastAsia="宋体" w:cs="宋体"/>
                <w:b/>
                <w:bCs/>
                <w:snapToGrid w:val="0"/>
                <w:color w:val="000000"/>
                <w:spacing w:val="-6"/>
                <w:kern w:val="21"/>
                <w:szCs w:val="21"/>
              </w:rPr>
              <w:t>②</w:t>
            </w:r>
            <w:r>
              <w:rPr>
                <w:rFonts w:hint="eastAsia" w:ascii="宋体" w:hAnsi="宋体" w:eastAsia="宋体" w:cs="宋体"/>
                <w:b/>
                <w:bCs/>
                <w:snapToGrid w:val="0"/>
                <w:color w:val="000000"/>
                <w:spacing w:val="-6"/>
                <w:kern w:val="21"/>
                <w:szCs w:val="21"/>
              </w:rPr>
              <w:fldChar w:fldCharType="end"/>
            </w:r>
          </w:p>
        </w:tc>
        <w:tc>
          <w:tcPr>
            <w:tcW w:w="1701"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在建工程</w:t>
            </w:r>
          </w:p>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排放量（固体废物产生量）</w:t>
            </w:r>
            <w:r>
              <w:rPr>
                <w:rFonts w:hint="eastAsia" w:ascii="宋体" w:hAnsi="宋体" w:eastAsia="宋体" w:cs="宋体"/>
                <w:b/>
                <w:bCs/>
                <w:snapToGrid w:val="0"/>
                <w:color w:val="000000"/>
                <w:spacing w:val="-6"/>
                <w:kern w:val="21"/>
                <w:szCs w:val="21"/>
              </w:rPr>
              <w:fldChar w:fldCharType="begin"/>
            </w:r>
            <w:r>
              <w:rPr>
                <w:rFonts w:hint="eastAsia" w:ascii="宋体" w:hAnsi="宋体" w:eastAsia="宋体" w:cs="宋体"/>
                <w:b/>
                <w:bCs/>
                <w:snapToGrid w:val="0"/>
                <w:color w:val="000000"/>
                <w:spacing w:val="-6"/>
                <w:kern w:val="21"/>
                <w:szCs w:val="21"/>
              </w:rPr>
              <w:instrText xml:space="preserve"> = 3 \* GB3 \* MERGEFORMAT </w:instrText>
            </w:r>
            <w:r>
              <w:rPr>
                <w:rFonts w:hint="eastAsia" w:ascii="宋体" w:hAnsi="宋体" w:eastAsia="宋体" w:cs="宋体"/>
                <w:b/>
                <w:bCs/>
                <w:snapToGrid w:val="0"/>
                <w:color w:val="000000"/>
                <w:spacing w:val="-6"/>
                <w:kern w:val="21"/>
                <w:szCs w:val="21"/>
              </w:rPr>
              <w:fldChar w:fldCharType="separate"/>
            </w:r>
            <w:r>
              <w:rPr>
                <w:rFonts w:hint="eastAsia" w:ascii="宋体" w:hAnsi="宋体" w:eastAsia="宋体" w:cs="宋体"/>
                <w:b/>
                <w:bCs/>
                <w:kern w:val="2"/>
                <w:szCs w:val="21"/>
              </w:rPr>
              <w:t>③</w:t>
            </w:r>
            <w:r>
              <w:rPr>
                <w:rFonts w:hint="eastAsia" w:ascii="宋体" w:hAnsi="宋体" w:eastAsia="宋体" w:cs="宋体"/>
                <w:b/>
                <w:bCs/>
                <w:snapToGrid w:val="0"/>
                <w:color w:val="000000"/>
                <w:spacing w:val="-6"/>
                <w:kern w:val="21"/>
                <w:szCs w:val="21"/>
              </w:rPr>
              <w:fldChar w:fldCharType="end"/>
            </w:r>
          </w:p>
        </w:tc>
        <w:tc>
          <w:tcPr>
            <w:tcW w:w="1559"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本项目</w:t>
            </w:r>
          </w:p>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排放量（固体废物产生量）</w:t>
            </w:r>
            <w:r>
              <w:rPr>
                <w:rFonts w:hint="eastAsia" w:ascii="宋体" w:hAnsi="宋体" w:eastAsia="宋体" w:cs="宋体"/>
                <w:b/>
                <w:bCs/>
                <w:snapToGrid w:val="0"/>
                <w:color w:val="000000"/>
                <w:spacing w:val="-6"/>
                <w:kern w:val="21"/>
                <w:szCs w:val="21"/>
              </w:rPr>
              <w:fldChar w:fldCharType="begin"/>
            </w:r>
            <w:r>
              <w:rPr>
                <w:rFonts w:hint="eastAsia" w:ascii="宋体" w:hAnsi="宋体" w:eastAsia="宋体" w:cs="宋体"/>
                <w:b/>
                <w:bCs/>
                <w:snapToGrid w:val="0"/>
                <w:color w:val="000000"/>
                <w:spacing w:val="-6"/>
                <w:kern w:val="21"/>
                <w:szCs w:val="21"/>
              </w:rPr>
              <w:instrText xml:space="preserve"> = 4 \* GB3 \* MERGEFORMAT </w:instrText>
            </w:r>
            <w:r>
              <w:rPr>
                <w:rFonts w:hint="eastAsia" w:ascii="宋体" w:hAnsi="宋体" w:eastAsia="宋体" w:cs="宋体"/>
                <w:b/>
                <w:bCs/>
                <w:snapToGrid w:val="0"/>
                <w:color w:val="000000"/>
                <w:spacing w:val="-6"/>
                <w:kern w:val="21"/>
                <w:szCs w:val="21"/>
              </w:rPr>
              <w:fldChar w:fldCharType="separate"/>
            </w:r>
            <w:r>
              <w:rPr>
                <w:rFonts w:hint="eastAsia" w:ascii="宋体" w:hAnsi="宋体" w:eastAsia="宋体" w:cs="宋体"/>
                <w:b/>
                <w:bCs/>
                <w:kern w:val="2"/>
                <w:szCs w:val="21"/>
              </w:rPr>
              <w:t>④</w:t>
            </w:r>
            <w:r>
              <w:rPr>
                <w:rFonts w:hint="eastAsia" w:ascii="宋体" w:hAnsi="宋体" w:eastAsia="宋体" w:cs="宋体"/>
                <w:b/>
                <w:bCs/>
                <w:snapToGrid w:val="0"/>
                <w:color w:val="000000"/>
                <w:spacing w:val="-6"/>
                <w:kern w:val="21"/>
                <w:szCs w:val="21"/>
              </w:rPr>
              <w:fldChar w:fldCharType="end"/>
            </w:r>
          </w:p>
        </w:tc>
        <w:tc>
          <w:tcPr>
            <w:tcW w:w="1761"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16"/>
                <w:kern w:val="21"/>
                <w:szCs w:val="21"/>
              </w:rPr>
            </w:pPr>
            <w:r>
              <w:rPr>
                <w:rFonts w:hint="eastAsia" w:ascii="宋体" w:hAnsi="宋体" w:eastAsia="宋体" w:cs="宋体"/>
                <w:b/>
                <w:bCs/>
                <w:snapToGrid w:val="0"/>
                <w:color w:val="000000"/>
                <w:spacing w:val="-16"/>
                <w:kern w:val="21"/>
                <w:szCs w:val="21"/>
              </w:rPr>
              <w:t>以新带老削减量</w:t>
            </w:r>
          </w:p>
          <w:p>
            <w:pPr>
              <w:pStyle w:val="28"/>
              <w:spacing w:beforeLines="0" w:afterLines="0" w:line="240" w:lineRule="auto"/>
              <w:rPr>
                <w:rFonts w:hint="eastAsia" w:ascii="宋体" w:hAnsi="宋体" w:eastAsia="宋体" w:cs="宋体"/>
                <w:b/>
                <w:bCs/>
                <w:snapToGrid w:val="0"/>
                <w:color w:val="000000"/>
                <w:spacing w:val="-16"/>
                <w:kern w:val="21"/>
                <w:szCs w:val="21"/>
              </w:rPr>
            </w:pPr>
            <w:r>
              <w:rPr>
                <w:rFonts w:hint="eastAsia" w:ascii="宋体" w:hAnsi="宋体" w:eastAsia="宋体" w:cs="宋体"/>
                <w:b/>
                <w:bCs/>
                <w:snapToGrid w:val="0"/>
                <w:color w:val="000000"/>
                <w:spacing w:val="-16"/>
                <w:kern w:val="21"/>
                <w:szCs w:val="21"/>
              </w:rPr>
              <w:t>（新建项目不填）</w:t>
            </w:r>
            <w:r>
              <w:rPr>
                <w:rFonts w:hint="eastAsia" w:ascii="宋体" w:hAnsi="宋体" w:eastAsia="宋体" w:cs="宋体"/>
                <w:b/>
                <w:bCs/>
                <w:snapToGrid w:val="0"/>
                <w:color w:val="000000"/>
                <w:spacing w:val="-16"/>
                <w:kern w:val="21"/>
                <w:szCs w:val="21"/>
              </w:rPr>
              <w:fldChar w:fldCharType="begin"/>
            </w:r>
            <w:r>
              <w:rPr>
                <w:rFonts w:hint="eastAsia" w:ascii="宋体" w:hAnsi="宋体" w:eastAsia="宋体" w:cs="宋体"/>
                <w:b/>
                <w:bCs/>
                <w:snapToGrid w:val="0"/>
                <w:color w:val="000000"/>
                <w:spacing w:val="-16"/>
                <w:kern w:val="21"/>
                <w:szCs w:val="21"/>
              </w:rPr>
              <w:instrText xml:space="preserve"> = 5 \* GB3 \* MERGEFORMAT </w:instrText>
            </w:r>
            <w:r>
              <w:rPr>
                <w:rFonts w:hint="eastAsia" w:ascii="宋体" w:hAnsi="宋体" w:eastAsia="宋体" w:cs="宋体"/>
                <w:b/>
                <w:bCs/>
                <w:snapToGrid w:val="0"/>
                <w:color w:val="000000"/>
                <w:spacing w:val="-16"/>
                <w:kern w:val="21"/>
                <w:szCs w:val="21"/>
              </w:rPr>
              <w:fldChar w:fldCharType="separate"/>
            </w:r>
            <w:r>
              <w:rPr>
                <w:rFonts w:hint="eastAsia" w:ascii="宋体" w:hAnsi="宋体" w:eastAsia="宋体" w:cs="宋体"/>
                <w:b/>
                <w:bCs/>
                <w:kern w:val="2"/>
                <w:szCs w:val="21"/>
              </w:rPr>
              <w:t>⑤</w:t>
            </w:r>
            <w:r>
              <w:rPr>
                <w:rFonts w:hint="eastAsia" w:ascii="宋体" w:hAnsi="宋体" w:eastAsia="宋体" w:cs="宋体"/>
                <w:b/>
                <w:bCs/>
                <w:snapToGrid w:val="0"/>
                <w:color w:val="000000"/>
                <w:spacing w:val="-16"/>
                <w:kern w:val="21"/>
                <w:szCs w:val="21"/>
              </w:rPr>
              <w:fldChar w:fldCharType="end"/>
            </w:r>
          </w:p>
        </w:tc>
        <w:tc>
          <w:tcPr>
            <w:tcW w:w="1724"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16"/>
                <w:kern w:val="21"/>
                <w:szCs w:val="21"/>
              </w:rPr>
            </w:pPr>
            <w:r>
              <w:rPr>
                <w:rFonts w:hint="eastAsia" w:ascii="宋体" w:hAnsi="宋体" w:eastAsia="宋体" w:cs="宋体"/>
                <w:b/>
                <w:bCs/>
                <w:snapToGrid w:val="0"/>
                <w:color w:val="000000"/>
                <w:spacing w:val="-16"/>
                <w:kern w:val="21"/>
                <w:szCs w:val="21"/>
              </w:rPr>
              <w:t>本项目建成后</w:t>
            </w:r>
          </w:p>
          <w:p>
            <w:pPr>
              <w:pStyle w:val="28"/>
              <w:spacing w:beforeLines="0" w:afterLines="0" w:line="240" w:lineRule="auto"/>
              <w:rPr>
                <w:rFonts w:hint="eastAsia" w:ascii="宋体" w:hAnsi="宋体" w:eastAsia="宋体" w:cs="宋体"/>
                <w:b/>
                <w:bCs/>
                <w:snapToGrid w:val="0"/>
                <w:color w:val="000000"/>
                <w:spacing w:val="-16"/>
                <w:kern w:val="21"/>
                <w:szCs w:val="21"/>
              </w:rPr>
            </w:pPr>
            <w:r>
              <w:rPr>
                <w:rFonts w:hint="eastAsia" w:ascii="宋体" w:hAnsi="宋体" w:eastAsia="宋体" w:cs="宋体"/>
                <w:b/>
                <w:bCs/>
                <w:snapToGrid w:val="0"/>
                <w:color w:val="000000"/>
                <w:spacing w:val="-16"/>
                <w:kern w:val="21"/>
                <w:szCs w:val="21"/>
              </w:rPr>
              <w:t>全厂排放量（固体废物产生量）</w:t>
            </w:r>
            <w:r>
              <w:rPr>
                <w:rFonts w:hint="eastAsia" w:ascii="宋体" w:hAnsi="宋体" w:eastAsia="宋体" w:cs="宋体"/>
                <w:b/>
                <w:bCs/>
                <w:snapToGrid w:val="0"/>
                <w:color w:val="000000"/>
                <w:spacing w:val="-16"/>
                <w:kern w:val="21"/>
                <w:szCs w:val="21"/>
              </w:rPr>
              <w:fldChar w:fldCharType="begin"/>
            </w:r>
            <w:r>
              <w:rPr>
                <w:rFonts w:hint="eastAsia" w:ascii="宋体" w:hAnsi="宋体" w:eastAsia="宋体" w:cs="宋体"/>
                <w:b/>
                <w:bCs/>
                <w:snapToGrid w:val="0"/>
                <w:color w:val="000000"/>
                <w:spacing w:val="-16"/>
                <w:kern w:val="21"/>
                <w:szCs w:val="21"/>
              </w:rPr>
              <w:instrText xml:space="preserve"> = 6 \* GB3 \* MERGEFORMAT </w:instrText>
            </w:r>
            <w:r>
              <w:rPr>
                <w:rFonts w:hint="eastAsia" w:ascii="宋体" w:hAnsi="宋体" w:eastAsia="宋体" w:cs="宋体"/>
                <w:b/>
                <w:bCs/>
                <w:snapToGrid w:val="0"/>
                <w:color w:val="000000"/>
                <w:spacing w:val="-16"/>
                <w:kern w:val="21"/>
                <w:szCs w:val="21"/>
              </w:rPr>
              <w:fldChar w:fldCharType="separate"/>
            </w:r>
            <w:r>
              <w:rPr>
                <w:rFonts w:hint="eastAsia" w:ascii="宋体" w:hAnsi="宋体" w:eastAsia="宋体" w:cs="宋体"/>
                <w:b/>
                <w:bCs/>
                <w:kern w:val="2"/>
                <w:szCs w:val="21"/>
              </w:rPr>
              <w:t>⑥</w:t>
            </w:r>
            <w:r>
              <w:rPr>
                <w:rFonts w:hint="eastAsia" w:ascii="宋体" w:hAnsi="宋体" w:eastAsia="宋体" w:cs="宋体"/>
                <w:b/>
                <w:bCs/>
                <w:snapToGrid w:val="0"/>
                <w:color w:val="000000"/>
                <w:spacing w:val="-16"/>
                <w:kern w:val="21"/>
                <w:szCs w:val="21"/>
              </w:rPr>
              <w:fldChar w:fldCharType="end"/>
            </w:r>
          </w:p>
        </w:tc>
        <w:tc>
          <w:tcPr>
            <w:tcW w:w="1061" w:type="dxa"/>
            <w:noWrap w:val="0"/>
            <w:tcMar>
              <w:left w:w="28" w:type="dxa"/>
              <w:right w:w="28" w:type="dxa"/>
            </w:tcMar>
            <w:vAlign w:val="center"/>
          </w:tcPr>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t>变化量</w:t>
            </w:r>
          </w:p>
          <w:p>
            <w:pPr>
              <w:pStyle w:val="28"/>
              <w:spacing w:beforeLines="0" w:afterLines="0" w:line="240" w:lineRule="auto"/>
              <w:rPr>
                <w:rFonts w:hint="eastAsia" w:ascii="宋体" w:hAnsi="宋体" w:eastAsia="宋体" w:cs="宋体"/>
                <w:b/>
                <w:bCs/>
                <w:snapToGrid w:val="0"/>
                <w:color w:val="000000"/>
                <w:spacing w:val="-6"/>
                <w:kern w:val="21"/>
                <w:szCs w:val="21"/>
              </w:rPr>
            </w:pPr>
            <w:r>
              <w:rPr>
                <w:rFonts w:hint="eastAsia" w:ascii="宋体" w:hAnsi="宋体" w:eastAsia="宋体" w:cs="宋体"/>
                <w:b/>
                <w:bCs/>
                <w:snapToGrid w:val="0"/>
                <w:color w:val="000000"/>
                <w:spacing w:val="-6"/>
                <w:kern w:val="21"/>
                <w:szCs w:val="21"/>
              </w:rPr>
              <w:fldChar w:fldCharType="begin"/>
            </w:r>
            <w:r>
              <w:rPr>
                <w:rFonts w:hint="eastAsia" w:ascii="宋体" w:hAnsi="宋体" w:eastAsia="宋体" w:cs="宋体"/>
                <w:b/>
                <w:bCs/>
                <w:snapToGrid w:val="0"/>
                <w:color w:val="000000"/>
                <w:spacing w:val="-6"/>
                <w:kern w:val="21"/>
                <w:szCs w:val="21"/>
              </w:rPr>
              <w:instrText xml:space="preserve"> = 7 \* GB3 \* MERGEFORMAT </w:instrText>
            </w:r>
            <w:r>
              <w:rPr>
                <w:rFonts w:hint="eastAsia" w:ascii="宋体" w:hAnsi="宋体" w:eastAsia="宋体" w:cs="宋体"/>
                <w:b/>
                <w:bCs/>
                <w:snapToGrid w:val="0"/>
                <w:color w:val="000000"/>
                <w:spacing w:val="-6"/>
                <w:kern w:val="21"/>
                <w:szCs w:val="21"/>
              </w:rPr>
              <w:fldChar w:fldCharType="separate"/>
            </w:r>
            <w:r>
              <w:rPr>
                <w:rFonts w:hint="eastAsia" w:ascii="宋体" w:hAnsi="宋体" w:eastAsia="宋体" w:cs="宋体"/>
                <w:b/>
                <w:bCs/>
                <w:kern w:val="2"/>
                <w:szCs w:val="21"/>
              </w:rPr>
              <w:t>⑦</w:t>
            </w:r>
            <w:r>
              <w:rPr>
                <w:rFonts w:hint="eastAsia" w:ascii="宋体" w:hAnsi="宋体" w:eastAsia="宋体" w:cs="宋体"/>
                <w:b/>
                <w:bCs/>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noWrap w:val="0"/>
            <w:vAlign w:val="center"/>
          </w:tcPr>
          <w:p>
            <w:pPr>
              <w:pStyle w:val="2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r>
              <w:rPr>
                <w:rFonts w:hint="eastAsia" w:hAnsi="宋体" w:cs="宋体"/>
                <w:snapToGrid w:val="0"/>
                <w:color w:val="000000"/>
                <w:kern w:val="21"/>
                <w:szCs w:val="21"/>
                <w:lang w:eastAsia="zh-CN"/>
              </w:rPr>
              <w:t>（</w:t>
            </w:r>
            <w:r>
              <w:rPr>
                <w:rFonts w:hint="eastAsia" w:hAnsi="宋体" w:cs="宋体"/>
                <w:snapToGrid w:val="0"/>
                <w:color w:val="000000"/>
                <w:kern w:val="21"/>
                <w:szCs w:val="21"/>
                <w:lang w:val="en-US" w:eastAsia="zh-CN"/>
              </w:rPr>
              <w:t>有组织</w:t>
            </w:r>
            <w:r>
              <w:rPr>
                <w:rFonts w:hint="eastAsia" w:hAnsi="宋体" w:cs="宋体"/>
                <w:snapToGrid w:val="0"/>
                <w:color w:val="000000"/>
                <w:kern w:val="21"/>
                <w:szCs w:val="21"/>
                <w:lang w:eastAsia="zh-CN"/>
              </w:rPr>
              <w:t>）</w:t>
            </w:r>
          </w:p>
        </w:tc>
        <w:tc>
          <w:tcPr>
            <w:tcW w:w="1550" w:type="dxa"/>
            <w:noWrap w:val="0"/>
            <w:vAlign w:val="center"/>
          </w:tcPr>
          <w:p>
            <w:pPr>
              <w:pStyle w:val="28"/>
              <w:spacing w:beforeLines="0" w:afterLines="0" w:line="240" w:lineRule="auto"/>
              <w:rPr>
                <w:rFonts w:hAnsi="宋体" w:cs="宋体"/>
                <w:snapToGrid w:val="0"/>
                <w:color w:val="000000"/>
                <w:kern w:val="21"/>
                <w:szCs w:val="21"/>
              </w:rPr>
            </w:pPr>
            <w:r>
              <w:rPr>
                <w:rFonts w:hint="default"/>
                <w:lang w:eastAsia="zh-CN"/>
              </w:rPr>
              <w:t>非甲烷总烃</w:t>
            </w:r>
          </w:p>
        </w:tc>
        <w:tc>
          <w:tcPr>
            <w:tcW w:w="1418" w:type="dxa"/>
            <w:noWrap w:val="0"/>
            <w:vAlign w:val="center"/>
          </w:tcPr>
          <w:p>
            <w:pPr>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0.12</w:t>
            </w:r>
          </w:p>
        </w:tc>
        <w:tc>
          <w:tcPr>
            <w:tcW w:w="1276" w:type="dxa"/>
            <w:noWrap w:val="0"/>
            <w:vAlign w:val="center"/>
          </w:tcPr>
          <w:p>
            <w:pPr>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0.12</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0.009</w:t>
            </w:r>
          </w:p>
        </w:tc>
        <w:tc>
          <w:tcPr>
            <w:tcW w:w="176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724"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0.129</w:t>
            </w:r>
          </w:p>
        </w:tc>
        <w:tc>
          <w:tcPr>
            <w:tcW w:w="1061"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noWrap w:val="0"/>
            <w:vAlign w:val="center"/>
          </w:tcPr>
          <w:p>
            <w:pPr>
              <w:pStyle w:val="2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r>
              <w:rPr>
                <w:rFonts w:hint="eastAsia" w:hAnsi="宋体" w:cs="宋体"/>
                <w:snapToGrid w:val="0"/>
                <w:color w:val="000000"/>
                <w:kern w:val="21"/>
                <w:szCs w:val="21"/>
                <w:lang w:eastAsia="zh-CN"/>
              </w:rPr>
              <w:t>（</w:t>
            </w:r>
            <w:r>
              <w:rPr>
                <w:rFonts w:hint="eastAsia" w:hAnsi="宋体" w:cs="宋体"/>
                <w:snapToGrid w:val="0"/>
                <w:color w:val="000000"/>
                <w:kern w:val="21"/>
                <w:szCs w:val="21"/>
                <w:lang w:val="en-US" w:eastAsia="zh-CN"/>
              </w:rPr>
              <w:t>无组织</w:t>
            </w:r>
            <w:r>
              <w:rPr>
                <w:rFonts w:hint="eastAsia" w:hAnsi="宋体" w:cs="宋体"/>
                <w:snapToGrid w:val="0"/>
                <w:color w:val="000000"/>
                <w:kern w:val="21"/>
                <w:szCs w:val="21"/>
                <w:lang w:eastAsia="zh-CN"/>
              </w:rPr>
              <w:t>）</w:t>
            </w:r>
          </w:p>
        </w:tc>
        <w:tc>
          <w:tcPr>
            <w:tcW w:w="1550" w:type="dxa"/>
            <w:noWrap w:val="0"/>
            <w:vAlign w:val="center"/>
          </w:tcPr>
          <w:p>
            <w:pPr>
              <w:pStyle w:val="28"/>
              <w:spacing w:beforeLines="0" w:afterLines="0" w:line="240" w:lineRule="auto"/>
              <w:rPr>
                <w:rFonts w:hAnsi="宋体" w:cs="宋体"/>
                <w:snapToGrid w:val="0"/>
                <w:color w:val="000000"/>
                <w:kern w:val="21"/>
                <w:szCs w:val="21"/>
              </w:rPr>
            </w:pPr>
            <w:r>
              <w:rPr>
                <w:rFonts w:hint="default"/>
                <w:lang w:eastAsia="zh-CN"/>
              </w:rPr>
              <w:t>非甲烷总烃</w:t>
            </w:r>
          </w:p>
        </w:tc>
        <w:tc>
          <w:tcPr>
            <w:tcW w:w="1418" w:type="dxa"/>
            <w:noWrap w:val="0"/>
            <w:vAlign w:val="center"/>
          </w:tcPr>
          <w:p>
            <w:pPr>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w:t>
            </w:r>
          </w:p>
        </w:tc>
        <w:tc>
          <w:tcPr>
            <w:tcW w:w="1276" w:type="dxa"/>
            <w:noWrap w:val="0"/>
            <w:vAlign w:val="center"/>
          </w:tcPr>
          <w:p>
            <w:pPr>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0.01</w:t>
            </w:r>
          </w:p>
        </w:tc>
        <w:tc>
          <w:tcPr>
            <w:tcW w:w="176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724"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0.01</w:t>
            </w:r>
          </w:p>
        </w:tc>
        <w:tc>
          <w:tcPr>
            <w:tcW w:w="106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noWrap w:val="0"/>
            <w:vAlign w:val="center"/>
          </w:tcPr>
          <w:p>
            <w:pPr>
              <w:pStyle w:val="28"/>
              <w:spacing w:beforeLines="0" w:afterLines="0" w:line="240" w:lineRule="auto"/>
              <w:rPr>
                <w:rFonts w:hint="eastAsia" w:hAnsi="宋体" w:eastAsia="宋体" w:cs="宋体"/>
                <w:snapToGrid w:val="0"/>
                <w:color w:val="000000"/>
                <w:kern w:val="21"/>
                <w:szCs w:val="21"/>
                <w:lang w:eastAsia="zh-CN"/>
              </w:rPr>
            </w:pPr>
            <w:r>
              <w:rPr>
                <w:rFonts w:hint="eastAsia" w:hAnsi="宋体" w:cs="宋体"/>
                <w:snapToGrid w:val="0"/>
                <w:color w:val="000000"/>
                <w:kern w:val="21"/>
                <w:szCs w:val="21"/>
              </w:rPr>
              <w:t>废水</w:t>
            </w:r>
          </w:p>
        </w:tc>
        <w:tc>
          <w:tcPr>
            <w:tcW w:w="1025" w:type="dxa"/>
            <w:vMerge w:val="restart"/>
            <w:noWrap w:val="0"/>
            <w:vAlign w:val="center"/>
          </w:tcPr>
          <w:p>
            <w:pPr>
              <w:pStyle w:val="2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lang w:val="en-US" w:eastAsia="zh-CN"/>
              </w:rPr>
              <w:t>生活废水</w:t>
            </w:r>
          </w:p>
        </w:tc>
        <w:tc>
          <w:tcPr>
            <w:tcW w:w="155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Ansi="宋体" w:cs="宋体"/>
                <w:snapToGrid w:val="0"/>
                <w:color w:val="000000"/>
                <w:kern w:val="21"/>
                <w:szCs w:val="21"/>
              </w:rPr>
            </w:pPr>
            <w:r>
              <w:rPr>
                <w:rFonts w:hint="default" w:ascii="Times New Roman" w:hAnsi="Times New Roman" w:eastAsia="宋体" w:cs="Times New Roman"/>
                <w:color w:val="auto"/>
                <w:sz w:val="21"/>
                <w:szCs w:val="21"/>
                <w:highlight w:val="none"/>
              </w:rPr>
              <w:t>水量</w:t>
            </w:r>
          </w:p>
        </w:tc>
        <w:tc>
          <w:tcPr>
            <w:tcW w:w="1418"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2112</w:t>
            </w:r>
          </w:p>
        </w:tc>
        <w:tc>
          <w:tcPr>
            <w:tcW w:w="1276"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2112</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1600</w:t>
            </w:r>
          </w:p>
        </w:tc>
        <w:tc>
          <w:tcPr>
            <w:tcW w:w="176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2112</w:t>
            </w:r>
          </w:p>
        </w:tc>
        <w:tc>
          <w:tcPr>
            <w:tcW w:w="1724"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1600</w:t>
            </w:r>
          </w:p>
        </w:tc>
        <w:tc>
          <w:tcPr>
            <w:tcW w:w="106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Ansi="宋体" w:cs="宋体"/>
                <w:snapToGrid w:val="0"/>
                <w:color w:val="000000"/>
                <w:kern w:val="21"/>
                <w:szCs w:val="21"/>
              </w:rPr>
            </w:pPr>
            <w:r>
              <w:rPr>
                <w:rFonts w:hint="default" w:ascii="Times New Roman" w:hAnsi="Times New Roman" w:eastAsia="宋体" w:cs="Times New Roman"/>
                <w:color w:val="auto"/>
                <w:sz w:val="21"/>
                <w:szCs w:val="21"/>
                <w:highlight w:val="none"/>
              </w:rPr>
              <w:t>COD</w:t>
            </w:r>
          </w:p>
        </w:tc>
        <w:tc>
          <w:tcPr>
            <w:tcW w:w="1418"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0.1954</w:t>
            </w:r>
          </w:p>
        </w:tc>
        <w:tc>
          <w:tcPr>
            <w:tcW w:w="1276"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0.1954</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0.560</w:t>
            </w:r>
          </w:p>
        </w:tc>
        <w:tc>
          <w:tcPr>
            <w:tcW w:w="1761"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0.1954</w:t>
            </w:r>
          </w:p>
        </w:tc>
        <w:tc>
          <w:tcPr>
            <w:tcW w:w="1724"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0.560</w:t>
            </w:r>
          </w:p>
        </w:tc>
        <w:tc>
          <w:tcPr>
            <w:tcW w:w="1061"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+0.3646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hAnsi="宋体" w:cs="宋体"/>
                <w:snapToGrid w:val="0"/>
                <w:color w:val="000000"/>
                <w:kern w:val="21"/>
                <w:szCs w:val="21"/>
              </w:rPr>
            </w:pPr>
            <w:r>
              <w:rPr>
                <w:rFonts w:hint="default" w:ascii="Times New Roman" w:hAnsi="Times New Roman" w:eastAsia="宋体" w:cs="Times New Roman"/>
                <w:color w:val="auto"/>
                <w:sz w:val="21"/>
                <w:szCs w:val="21"/>
                <w:highlight w:val="none"/>
              </w:rPr>
              <w:t>SS</w:t>
            </w:r>
          </w:p>
        </w:tc>
        <w:tc>
          <w:tcPr>
            <w:tcW w:w="1418"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0.0285</w:t>
            </w:r>
          </w:p>
        </w:tc>
        <w:tc>
          <w:tcPr>
            <w:tcW w:w="1276"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0.0285</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0.400</w:t>
            </w:r>
          </w:p>
        </w:tc>
        <w:tc>
          <w:tcPr>
            <w:tcW w:w="1761"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0.0285</w:t>
            </w:r>
          </w:p>
        </w:tc>
        <w:tc>
          <w:tcPr>
            <w:tcW w:w="1724"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0.400</w:t>
            </w:r>
          </w:p>
        </w:tc>
        <w:tc>
          <w:tcPr>
            <w:tcW w:w="1061"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+0.3715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hAnsi="宋体" w:cs="宋体"/>
                <w:snapToGrid w:val="0"/>
                <w:color w:val="000000"/>
                <w:kern w:val="21"/>
                <w:szCs w:val="21"/>
              </w:rPr>
            </w:pPr>
            <w:r>
              <w:rPr>
                <w:rFonts w:hint="eastAsia" w:ascii="Times New Roman" w:hAnsi="Times New Roman" w:eastAsia="宋体" w:cs="Times New Roman"/>
                <w:color w:val="auto"/>
                <w:sz w:val="21"/>
                <w:szCs w:val="21"/>
                <w:highlight w:val="none"/>
                <w:lang w:eastAsia="zh-CN"/>
              </w:rPr>
              <w:t>氨氮</w:t>
            </w:r>
          </w:p>
        </w:tc>
        <w:tc>
          <w:tcPr>
            <w:tcW w:w="1418"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0.0041</w:t>
            </w:r>
          </w:p>
        </w:tc>
        <w:tc>
          <w:tcPr>
            <w:tcW w:w="1276"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0.0041</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0.048</w:t>
            </w:r>
          </w:p>
        </w:tc>
        <w:tc>
          <w:tcPr>
            <w:tcW w:w="1761"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0.0041</w:t>
            </w:r>
          </w:p>
        </w:tc>
        <w:tc>
          <w:tcPr>
            <w:tcW w:w="1724"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0.048</w:t>
            </w:r>
          </w:p>
        </w:tc>
        <w:tc>
          <w:tcPr>
            <w:tcW w:w="1061"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+0.0439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hAnsi="宋体" w:cs="宋体"/>
                <w:snapToGrid w:val="0"/>
                <w:color w:val="000000"/>
                <w:kern w:val="21"/>
                <w:szCs w:val="21"/>
              </w:rPr>
            </w:pPr>
            <w:r>
              <w:rPr>
                <w:rFonts w:hint="eastAsia" w:ascii="Times New Roman" w:hAnsi="Times New Roman" w:eastAsia="宋体" w:cs="Times New Roman"/>
                <w:color w:val="auto"/>
                <w:sz w:val="21"/>
                <w:szCs w:val="21"/>
                <w:highlight w:val="none"/>
                <w:lang w:eastAsia="zh-CN"/>
              </w:rPr>
              <w:t>总磷</w:t>
            </w:r>
          </w:p>
        </w:tc>
        <w:tc>
          <w:tcPr>
            <w:tcW w:w="1418"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0.0027</w:t>
            </w:r>
          </w:p>
        </w:tc>
        <w:tc>
          <w:tcPr>
            <w:tcW w:w="1276"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0.0027</w:t>
            </w:r>
          </w:p>
        </w:tc>
        <w:tc>
          <w:tcPr>
            <w:tcW w:w="1701" w:type="dxa"/>
            <w:noWrap w:val="0"/>
            <w:vAlign w:val="center"/>
          </w:tcPr>
          <w:p>
            <w:pPr>
              <w:widowControl/>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0.008</w:t>
            </w:r>
          </w:p>
        </w:tc>
        <w:tc>
          <w:tcPr>
            <w:tcW w:w="1761" w:type="dxa"/>
            <w:noWrap w:val="0"/>
            <w:vAlign w:val="center"/>
          </w:tcPr>
          <w:p>
            <w:pPr>
              <w:spacing w:line="240" w:lineRule="auto"/>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0.0027</w:t>
            </w:r>
          </w:p>
        </w:tc>
        <w:tc>
          <w:tcPr>
            <w:tcW w:w="1724"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0.008</w:t>
            </w:r>
          </w:p>
        </w:tc>
        <w:tc>
          <w:tcPr>
            <w:tcW w:w="1061" w:type="dxa"/>
            <w:noWrap w:val="0"/>
            <w:vAlign w:val="center"/>
          </w:tcPr>
          <w:p>
            <w:pPr>
              <w:adjustRightInd w:val="0"/>
              <w:snapToGrid w:val="0"/>
              <w:jc w:val="center"/>
              <w:rPr>
                <w:rFonts w:hint="eastAsia"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+0.0053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restart"/>
            <w:noWrap w:val="0"/>
            <w:vAlign w:val="center"/>
          </w:tcPr>
          <w:p>
            <w:pPr>
              <w:pStyle w:val="2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循环冷却水</w:t>
            </w:r>
          </w:p>
        </w:tc>
        <w:tc>
          <w:tcPr>
            <w:tcW w:w="1550"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水量</w:t>
            </w:r>
          </w:p>
        </w:tc>
        <w:tc>
          <w:tcPr>
            <w:tcW w:w="1418"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4</w:t>
            </w:r>
          </w:p>
        </w:tc>
        <w:tc>
          <w:tcPr>
            <w:tcW w:w="1276"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4</w:t>
            </w:r>
          </w:p>
        </w:tc>
        <w:tc>
          <w:tcPr>
            <w:tcW w:w="1701"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2</w:t>
            </w:r>
          </w:p>
        </w:tc>
        <w:tc>
          <w:tcPr>
            <w:tcW w:w="1761" w:type="dxa"/>
            <w:noWrap w:val="0"/>
            <w:vAlign w:val="center"/>
          </w:tcPr>
          <w:p>
            <w:pPr>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1724" w:type="dxa"/>
            <w:noWrap w:val="0"/>
            <w:vAlign w:val="center"/>
          </w:tcPr>
          <w:p>
            <w:pPr>
              <w:snapToGrid w:val="0"/>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061" w:type="dxa"/>
            <w:noWrap w:val="0"/>
            <w:vAlign w:val="center"/>
          </w:tcPr>
          <w:p>
            <w:pPr>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szCs w:val="21"/>
              </w:rPr>
              <w:t>COD</w:t>
            </w:r>
          </w:p>
        </w:tc>
        <w:tc>
          <w:tcPr>
            <w:tcW w:w="1418"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0.00012</w:t>
            </w:r>
          </w:p>
        </w:tc>
        <w:tc>
          <w:tcPr>
            <w:tcW w:w="1276"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0.00012</w:t>
            </w:r>
          </w:p>
        </w:tc>
        <w:tc>
          <w:tcPr>
            <w:tcW w:w="1701"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spacing w:line="240" w:lineRule="auto"/>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0.00006</w:t>
            </w:r>
          </w:p>
        </w:tc>
        <w:tc>
          <w:tcPr>
            <w:tcW w:w="1761" w:type="dxa"/>
            <w:noWrap w:val="0"/>
            <w:vAlign w:val="center"/>
          </w:tcPr>
          <w:p>
            <w:pPr>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1724" w:type="dxa"/>
            <w:noWrap w:val="0"/>
            <w:vAlign w:val="center"/>
          </w:tcPr>
          <w:p>
            <w:pPr>
              <w:snapToGrid w:val="0"/>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0.00018</w:t>
            </w:r>
          </w:p>
        </w:tc>
        <w:tc>
          <w:tcPr>
            <w:tcW w:w="1061" w:type="dxa"/>
            <w:noWrap w:val="0"/>
            <w:vAlign w:val="center"/>
          </w:tcPr>
          <w:p>
            <w:pPr>
              <w:spacing w:line="240" w:lineRule="auto"/>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025" w:type="dxa"/>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szCs w:val="21"/>
              </w:rPr>
              <w:t>SS</w:t>
            </w:r>
          </w:p>
        </w:tc>
        <w:tc>
          <w:tcPr>
            <w:tcW w:w="1418"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0.00012</w:t>
            </w:r>
          </w:p>
        </w:tc>
        <w:tc>
          <w:tcPr>
            <w:tcW w:w="1276" w:type="dxa"/>
            <w:noWrap w:val="0"/>
            <w:vAlign w:val="center"/>
          </w:tcPr>
          <w:p>
            <w:pPr>
              <w:spacing w:line="240" w:lineRule="auto"/>
              <w:jc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0.00012</w:t>
            </w:r>
          </w:p>
        </w:tc>
        <w:tc>
          <w:tcPr>
            <w:tcW w:w="1701" w:type="dxa"/>
            <w:noWrap w:val="0"/>
            <w:vAlign w:val="center"/>
          </w:tcPr>
          <w:p>
            <w:pPr>
              <w:widowControl/>
              <w:adjustRightInd w:val="0"/>
              <w:snapToGrid w:val="0"/>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Cs w:val="21"/>
                <w:shd w:val="clear" w:color="auto" w:fill="FFFFFF"/>
                <w:lang w:val="en-US" w:eastAsia="zh-CN"/>
                <w14:textFill>
                  <w14:solidFill>
                    <w14:schemeClr w14:val="tx1"/>
                  </w14:solidFill>
                </w14:textFill>
              </w:rPr>
              <w:t>0</w:t>
            </w:r>
          </w:p>
        </w:tc>
        <w:tc>
          <w:tcPr>
            <w:tcW w:w="1559" w:type="dxa"/>
            <w:noWrap w:val="0"/>
            <w:vAlign w:val="center"/>
          </w:tcPr>
          <w:p>
            <w:pPr>
              <w:spacing w:line="240" w:lineRule="auto"/>
              <w:jc w:val="center"/>
              <w:rPr>
                <w:rFonts w:hint="default" w:cs="Times New Roman"/>
                <w:color w:val="000000" w:themeColor="text1"/>
                <w:szCs w:val="21"/>
                <w:shd w:val="clear" w:color="auto" w:fill="FFFFFF"/>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0.00006</w:t>
            </w:r>
          </w:p>
        </w:tc>
        <w:tc>
          <w:tcPr>
            <w:tcW w:w="1761" w:type="dxa"/>
            <w:noWrap w:val="0"/>
            <w:vAlign w:val="center"/>
          </w:tcPr>
          <w:p>
            <w:pPr>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w:t>
            </w:r>
          </w:p>
        </w:tc>
        <w:tc>
          <w:tcPr>
            <w:tcW w:w="1724" w:type="dxa"/>
            <w:noWrap w:val="0"/>
            <w:vAlign w:val="center"/>
          </w:tcPr>
          <w:p>
            <w:pPr>
              <w:snapToGrid w:val="0"/>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0.00018</w:t>
            </w:r>
          </w:p>
        </w:tc>
        <w:tc>
          <w:tcPr>
            <w:tcW w:w="1061" w:type="dxa"/>
            <w:noWrap w:val="0"/>
            <w:vAlign w:val="center"/>
          </w:tcPr>
          <w:p>
            <w:pPr>
              <w:spacing w:line="240" w:lineRule="auto"/>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+0.00006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vMerge w:val="restart"/>
            <w:noWrap w:val="0"/>
            <w:vAlign w:val="center"/>
          </w:tcPr>
          <w:p>
            <w:pPr>
              <w:pStyle w:val="28"/>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2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1550" w:type="dxa"/>
            <w:noWrap w:val="0"/>
            <w:vAlign w:val="center"/>
          </w:tcPr>
          <w:p>
            <w:pPr>
              <w:pStyle w:val="2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废塑料</w:t>
            </w:r>
          </w:p>
        </w:tc>
        <w:tc>
          <w:tcPr>
            <w:tcW w:w="1418"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0.5</w:t>
            </w:r>
          </w:p>
        </w:tc>
        <w:tc>
          <w:tcPr>
            <w:tcW w:w="1276"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0.5</w:t>
            </w:r>
          </w:p>
        </w:tc>
        <w:tc>
          <w:tcPr>
            <w:tcW w:w="170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559"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0.905</w:t>
            </w:r>
          </w:p>
        </w:tc>
        <w:tc>
          <w:tcPr>
            <w:tcW w:w="17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24"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1.405</w:t>
            </w:r>
          </w:p>
        </w:tc>
        <w:tc>
          <w:tcPr>
            <w:tcW w:w="1061"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+0.905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vMerge w:val="continue"/>
            <w:noWrap w:val="0"/>
            <w:vAlign w:val="center"/>
          </w:tcPr>
          <w:p>
            <w:pPr>
              <w:pStyle w:val="28"/>
              <w:spacing w:beforeLines="0" w:afterLines="0" w:line="240" w:lineRule="auto"/>
              <w:rPr>
                <w:rFonts w:hAnsi="宋体" w:cs="宋体"/>
                <w:snapToGrid w:val="0"/>
                <w:color w:val="000000"/>
                <w:kern w:val="21"/>
                <w:szCs w:val="21"/>
              </w:rPr>
            </w:pPr>
          </w:p>
        </w:tc>
        <w:tc>
          <w:tcPr>
            <w:tcW w:w="1550" w:type="dxa"/>
            <w:noWrap w:val="0"/>
            <w:vAlign w:val="center"/>
          </w:tcPr>
          <w:p>
            <w:pPr>
              <w:pStyle w:val="2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废包装材料</w:t>
            </w:r>
          </w:p>
        </w:tc>
        <w:tc>
          <w:tcPr>
            <w:tcW w:w="1418"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1.5</w:t>
            </w:r>
          </w:p>
        </w:tc>
        <w:tc>
          <w:tcPr>
            <w:tcW w:w="1276"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1.5</w:t>
            </w:r>
          </w:p>
        </w:tc>
        <w:tc>
          <w:tcPr>
            <w:tcW w:w="170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559"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0.5</w:t>
            </w:r>
          </w:p>
        </w:tc>
        <w:tc>
          <w:tcPr>
            <w:tcW w:w="17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24"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2</w:t>
            </w:r>
          </w:p>
        </w:tc>
        <w:tc>
          <w:tcPr>
            <w:tcW w:w="10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vMerge w:val="restart"/>
            <w:noWrap w:val="0"/>
            <w:vAlign w:val="center"/>
          </w:tcPr>
          <w:p>
            <w:pPr>
              <w:pStyle w:val="2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1550" w:type="dxa"/>
            <w:noWrap w:val="0"/>
            <w:vAlign w:val="center"/>
          </w:tcPr>
          <w:p>
            <w:pPr>
              <w:pStyle w:val="28"/>
              <w:spacing w:beforeLines="0" w:afterLines="0" w:line="240" w:lineRule="auto"/>
              <w:rPr>
                <w:rFonts w:hint="eastAsia" w:hAnsi="宋体" w:cs="宋体"/>
                <w:snapToGrid w:val="0"/>
                <w:color w:val="000000"/>
                <w:kern w:val="21"/>
                <w:szCs w:val="21"/>
              </w:rPr>
            </w:pPr>
            <w:r>
              <w:rPr>
                <w:rFonts w:hint="default" w:ascii="Times New Roman" w:hAnsi="Times New Roman" w:eastAsia="宋体" w:cs="Times New Roman"/>
                <w:sz w:val="21"/>
                <w:szCs w:val="21"/>
                <w:highlight w:val="none"/>
                <w:lang w:val="en-US" w:eastAsia="zh-CN"/>
              </w:rPr>
              <w:t>废化学品容器</w:t>
            </w:r>
          </w:p>
        </w:tc>
        <w:tc>
          <w:tcPr>
            <w:tcW w:w="1418"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0.13</w:t>
            </w:r>
          </w:p>
        </w:tc>
        <w:tc>
          <w:tcPr>
            <w:tcW w:w="1276"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0.13</w:t>
            </w:r>
          </w:p>
        </w:tc>
        <w:tc>
          <w:tcPr>
            <w:tcW w:w="170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559"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24"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default" w:cs="Times New Roman"/>
                <w:szCs w:val="21"/>
                <w:shd w:val="clear" w:color="auto" w:fill="FFFFFF"/>
                <w:lang w:val="en-US" w:eastAsia="zh-CN"/>
              </w:rPr>
              <w:t>0.</w:t>
            </w:r>
            <w:r>
              <w:rPr>
                <w:rFonts w:hint="eastAsia" w:cs="Times New Roman"/>
                <w:szCs w:val="21"/>
                <w:shd w:val="clear" w:color="auto" w:fill="FFFFFF"/>
                <w:lang w:val="en-US" w:eastAsia="zh-CN"/>
              </w:rPr>
              <w:t>13</w:t>
            </w:r>
          </w:p>
        </w:tc>
        <w:tc>
          <w:tcPr>
            <w:tcW w:w="10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vMerge w:val="continue"/>
            <w:noWrap w:val="0"/>
            <w:vAlign w:val="center"/>
          </w:tcPr>
          <w:p>
            <w:pPr>
              <w:pStyle w:val="28"/>
              <w:spacing w:beforeLines="0" w:afterLines="0" w:line="240" w:lineRule="auto"/>
              <w:rPr>
                <w:rFonts w:hint="eastAsia" w:hAnsi="宋体" w:cs="宋体"/>
                <w:snapToGrid w:val="0"/>
                <w:color w:val="000000"/>
                <w:kern w:val="21"/>
                <w:szCs w:val="21"/>
              </w:rPr>
            </w:pPr>
          </w:p>
        </w:tc>
        <w:tc>
          <w:tcPr>
            <w:tcW w:w="1550" w:type="dxa"/>
            <w:noWrap w:val="0"/>
            <w:vAlign w:val="center"/>
          </w:tcPr>
          <w:p>
            <w:pPr>
              <w:pStyle w:val="28"/>
              <w:spacing w:beforeLines="0" w:afterLines="0" w:line="240" w:lineRule="auto"/>
              <w:rPr>
                <w:rFonts w:hint="eastAsia" w:hAnsi="宋体" w:cs="宋体"/>
                <w:snapToGrid w:val="0"/>
                <w:color w:val="000000"/>
                <w:kern w:val="21"/>
                <w:szCs w:val="21"/>
              </w:rPr>
            </w:pPr>
            <w:r>
              <w:rPr>
                <w:rFonts w:hint="default" w:ascii="Times New Roman" w:hAnsi="Times New Roman" w:eastAsia="宋体" w:cs="Times New Roman"/>
                <w:sz w:val="21"/>
                <w:szCs w:val="21"/>
                <w:highlight w:val="none"/>
                <w:lang w:val="en-US" w:eastAsia="zh-CN"/>
              </w:rPr>
              <w:t>废</w:t>
            </w:r>
            <w:r>
              <w:rPr>
                <w:rFonts w:hint="eastAsia" w:cs="Times New Roman"/>
                <w:sz w:val="21"/>
                <w:szCs w:val="21"/>
                <w:highlight w:val="none"/>
                <w:lang w:val="en-US" w:eastAsia="zh-CN"/>
              </w:rPr>
              <w:t>润滑油</w:t>
            </w:r>
          </w:p>
        </w:tc>
        <w:tc>
          <w:tcPr>
            <w:tcW w:w="1418"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1</w:t>
            </w:r>
          </w:p>
        </w:tc>
        <w:tc>
          <w:tcPr>
            <w:tcW w:w="1276"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1</w:t>
            </w:r>
          </w:p>
        </w:tc>
        <w:tc>
          <w:tcPr>
            <w:tcW w:w="170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559"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24"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1</w:t>
            </w:r>
          </w:p>
        </w:tc>
        <w:tc>
          <w:tcPr>
            <w:tcW w:w="10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vMerge w:val="continue"/>
            <w:noWrap w:val="0"/>
            <w:vAlign w:val="center"/>
          </w:tcPr>
          <w:p>
            <w:pPr>
              <w:pStyle w:val="28"/>
              <w:spacing w:beforeLines="0" w:afterLines="0" w:line="240" w:lineRule="auto"/>
              <w:rPr>
                <w:rFonts w:hAnsi="宋体" w:cs="宋体"/>
                <w:snapToGrid w:val="0"/>
                <w:color w:val="000000"/>
                <w:kern w:val="21"/>
                <w:szCs w:val="21"/>
              </w:rPr>
            </w:pPr>
          </w:p>
        </w:tc>
        <w:tc>
          <w:tcPr>
            <w:tcW w:w="1550" w:type="dxa"/>
            <w:noWrap w:val="0"/>
            <w:vAlign w:val="center"/>
          </w:tcPr>
          <w:p>
            <w:pPr>
              <w:pStyle w:val="28"/>
              <w:spacing w:beforeLines="0" w:afterLines="0" w:line="240" w:lineRule="auto"/>
              <w:rPr>
                <w:rFonts w:hint="eastAsia" w:hAnsi="宋体" w:cs="宋体"/>
                <w:snapToGrid w:val="0"/>
                <w:color w:val="000000"/>
                <w:kern w:val="21"/>
                <w:szCs w:val="21"/>
              </w:rPr>
            </w:pPr>
            <w:r>
              <w:rPr>
                <w:rFonts w:hint="default" w:ascii="Times New Roman" w:hAnsi="Times New Roman" w:eastAsia="宋体" w:cs="Times New Roman"/>
                <w:sz w:val="21"/>
                <w:szCs w:val="21"/>
                <w:highlight w:val="none"/>
                <w:lang w:val="en-US" w:eastAsia="zh-CN"/>
              </w:rPr>
              <w:t>废</w:t>
            </w:r>
            <w:r>
              <w:rPr>
                <w:rFonts w:hint="eastAsia" w:cs="Times New Roman"/>
                <w:sz w:val="21"/>
                <w:szCs w:val="21"/>
                <w:highlight w:val="none"/>
                <w:lang w:val="en-US" w:eastAsia="zh-CN"/>
              </w:rPr>
              <w:t>润滑油桶</w:t>
            </w:r>
          </w:p>
        </w:tc>
        <w:tc>
          <w:tcPr>
            <w:tcW w:w="1418"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0.04</w:t>
            </w:r>
          </w:p>
        </w:tc>
        <w:tc>
          <w:tcPr>
            <w:tcW w:w="1276"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0.04</w:t>
            </w:r>
          </w:p>
        </w:tc>
        <w:tc>
          <w:tcPr>
            <w:tcW w:w="170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559"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24"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0.04</w:t>
            </w:r>
          </w:p>
        </w:tc>
        <w:tc>
          <w:tcPr>
            <w:tcW w:w="10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dxa"/>
            <w:gridSpan w:val="2"/>
            <w:vMerge w:val="continue"/>
            <w:noWrap w:val="0"/>
            <w:vAlign w:val="center"/>
          </w:tcPr>
          <w:p>
            <w:pPr>
              <w:pStyle w:val="28"/>
              <w:spacing w:beforeLines="0" w:afterLines="0" w:line="240" w:lineRule="auto"/>
              <w:rPr>
                <w:rFonts w:hAnsi="宋体" w:cs="宋体"/>
                <w:snapToGrid w:val="0"/>
                <w:color w:val="000000"/>
                <w:kern w:val="21"/>
                <w:szCs w:val="21"/>
              </w:rPr>
            </w:pPr>
          </w:p>
        </w:tc>
        <w:tc>
          <w:tcPr>
            <w:tcW w:w="1550" w:type="dxa"/>
            <w:noWrap w:val="0"/>
            <w:vAlign w:val="center"/>
          </w:tcPr>
          <w:p>
            <w:pPr>
              <w:pStyle w:val="28"/>
              <w:spacing w:beforeLines="0" w:afterLines="0" w:line="240" w:lineRule="auto"/>
              <w:rPr>
                <w:rFonts w:hint="eastAsia" w:hAnsi="宋体" w:cs="宋体"/>
                <w:snapToGrid w:val="0"/>
                <w:color w:val="000000"/>
                <w:kern w:val="21"/>
                <w:szCs w:val="21"/>
              </w:rPr>
            </w:pPr>
            <w:r>
              <w:rPr>
                <w:rFonts w:hint="default" w:ascii="Times New Roman" w:hAnsi="Times New Roman" w:eastAsia="宋体" w:cs="Times New Roman"/>
                <w:sz w:val="21"/>
                <w:szCs w:val="21"/>
                <w:highlight w:val="none"/>
                <w:lang w:val="en-US" w:eastAsia="zh-CN"/>
              </w:rPr>
              <w:t>废活性炭</w:t>
            </w:r>
          </w:p>
        </w:tc>
        <w:tc>
          <w:tcPr>
            <w:tcW w:w="1418"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11.88</w:t>
            </w:r>
          </w:p>
        </w:tc>
        <w:tc>
          <w:tcPr>
            <w:tcW w:w="1276"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11.88</w:t>
            </w:r>
          </w:p>
        </w:tc>
        <w:tc>
          <w:tcPr>
            <w:tcW w:w="170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559"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0.847</w:t>
            </w:r>
          </w:p>
        </w:tc>
        <w:tc>
          <w:tcPr>
            <w:tcW w:w="1761" w:type="dxa"/>
            <w:noWrap w:val="0"/>
            <w:vAlign w:val="center"/>
          </w:tcPr>
          <w:p>
            <w:pPr>
              <w:widowControl/>
              <w:adjustRightInd w:val="0"/>
              <w:snapToGrid w:val="0"/>
              <w:jc w:val="center"/>
              <w:rPr>
                <w:rFonts w:hint="eastAsia" w:cs="Times New Roman"/>
                <w:szCs w:val="21"/>
                <w:shd w:val="clear" w:color="auto" w:fill="FFFFFF"/>
                <w:lang w:val="en-US" w:eastAsia="zh-CN"/>
              </w:rPr>
            </w:pPr>
            <w:r>
              <w:rPr>
                <w:rFonts w:hint="eastAsia" w:cs="Times New Roman"/>
                <w:szCs w:val="21"/>
                <w:shd w:val="clear" w:color="auto" w:fill="FFFFFF"/>
                <w:lang w:val="en-US" w:eastAsia="zh-CN"/>
              </w:rPr>
              <w:t>0</w:t>
            </w:r>
          </w:p>
        </w:tc>
        <w:tc>
          <w:tcPr>
            <w:tcW w:w="1724"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12.727</w:t>
            </w:r>
          </w:p>
        </w:tc>
        <w:tc>
          <w:tcPr>
            <w:tcW w:w="1061" w:type="dxa"/>
            <w:noWrap w:val="0"/>
            <w:vAlign w:val="center"/>
          </w:tcPr>
          <w:p>
            <w:pPr>
              <w:widowControl/>
              <w:adjustRightInd w:val="0"/>
              <w:snapToGrid w:val="0"/>
              <w:jc w:val="center"/>
              <w:rPr>
                <w:rFonts w:hint="default" w:cs="Times New Roman"/>
                <w:szCs w:val="21"/>
                <w:shd w:val="clear" w:color="auto" w:fill="FFFFFF"/>
                <w:lang w:val="en-US" w:eastAsia="zh-CN"/>
              </w:rPr>
            </w:pPr>
            <w:r>
              <w:rPr>
                <w:rFonts w:hint="eastAsia" w:cs="Times New Roman"/>
                <w:szCs w:val="21"/>
                <w:shd w:val="clear" w:color="auto" w:fill="FFFFFF"/>
                <w:lang w:val="en-US" w:eastAsia="zh-CN"/>
              </w:rPr>
              <w:t>+0.847</w:t>
            </w:r>
          </w:p>
        </w:tc>
      </w:tr>
    </w:tbl>
    <w:p>
      <w:pPr>
        <w:pStyle w:val="28"/>
        <w:spacing w:before="192" w:beforeLines="80" w:after="24"/>
        <w:jc w:val="left"/>
        <w:rPr>
          <w:rFonts w:hint="default" w:eastAsia="宋体"/>
          <w:lang w:val="en-US" w:eastAsia="zh-CN"/>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int="eastAsia" w:hAnsi="宋体"/>
          <w:snapToGrid w:val="0"/>
          <w:color w:val="000000"/>
          <w:spacing w:val="-6"/>
          <w:kern w:val="21"/>
          <w:szCs w:val="21"/>
          <w:lang w:val="en-US" w:eastAsia="zh-CN"/>
        </w:rPr>
        <w:t xml:space="preserve">      </w:t>
      </w:r>
    </w:p>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FBC369-2F07-4E42-BD37-AD1EC9B7E78B}"/>
  </w:font>
  <w:font w:name="Arial">
    <w:panose1 w:val="020B0604020202020204"/>
    <w:charset w:val="01"/>
    <w:family w:val="swiss"/>
    <w:pitch w:val="default"/>
    <w:sig w:usb0="E0002EFF" w:usb1="C000785B" w:usb2="00000009" w:usb3="00000000" w:csb0="400001FF" w:csb1="FFFF0000"/>
    <w:embedRegular r:id="rId2" w:fontKey="{4B86ED3B-83C5-42E3-A1B6-8878E5F1997E}"/>
  </w:font>
  <w:font w:name="黑体">
    <w:panose1 w:val="02010609060101010101"/>
    <w:charset w:val="86"/>
    <w:family w:val="auto"/>
    <w:pitch w:val="default"/>
    <w:sig w:usb0="800002BF" w:usb1="38CF7CFA" w:usb2="00000016" w:usb3="00000000" w:csb0="00040001" w:csb1="00000000"/>
    <w:embedRegular r:id="rId3" w:fontKey="{0C5E9020-8947-474F-9471-20F3EC4EF578}"/>
  </w:font>
  <w:font w:name="Courier New">
    <w:panose1 w:val="02070309020205020404"/>
    <w:charset w:val="01"/>
    <w:family w:val="modern"/>
    <w:pitch w:val="default"/>
    <w:sig w:usb0="E0002EFF" w:usb1="C0007843" w:usb2="00000009" w:usb3="00000000" w:csb0="400001FF" w:csb1="FFFF0000"/>
    <w:embedRegular r:id="rId4" w:fontKey="{F6A9B002-596E-4DAE-96AA-126F3823046C}"/>
  </w:font>
  <w:font w:name="Symbol">
    <w:panose1 w:val="05050102010706020507"/>
    <w:charset w:val="02"/>
    <w:family w:val="roman"/>
    <w:pitch w:val="default"/>
    <w:sig w:usb0="00000000" w:usb1="00000000" w:usb2="00000000" w:usb3="00000000" w:csb0="80000000" w:csb1="00000000"/>
    <w:embedRegular r:id="rId5" w:fontKey="{912D6D15-6BEE-4673-B3FC-ECC8932166A0}"/>
  </w:font>
  <w:font w:name="Calibri">
    <w:panose1 w:val="020F0502020204030204"/>
    <w:charset w:val="00"/>
    <w:family w:val="swiss"/>
    <w:pitch w:val="default"/>
    <w:sig w:usb0="E4002EFF" w:usb1="C000247B" w:usb2="00000009" w:usb3="00000000" w:csb0="200001FF" w:csb1="00000000"/>
    <w:embedRegular r:id="rId6" w:fontKey="{8C370660-7A22-41E6-97D2-C4954756AD94}"/>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7" w:fontKey="{21E4443A-4B2F-4CC8-9A70-B8FB6E06E1BF}"/>
  </w:font>
  <w:font w:name="新宋体">
    <w:panose1 w:val="02010609030101010101"/>
    <w:charset w:val="86"/>
    <w:family w:val="auto"/>
    <w:pitch w:val="default"/>
    <w:sig w:usb0="00000283" w:usb1="288F0000" w:usb2="00000006" w:usb3="00000000" w:csb0="00040001" w:csb1="00000000"/>
  </w:font>
  <w:font w:name="Noto Sans CJK JP Regular">
    <w:altName w:val="微软雅黑"/>
    <w:panose1 w:val="00000000000000000000"/>
    <w:charset w:val="00"/>
    <w:family w:val="swiss"/>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embedRegular r:id="rId8" w:fontKey="{45420461-E3F0-4496-9567-ED9C0A7661F4}"/>
  </w:font>
  <w:font w:name="方正小标宋_GBK">
    <w:panose1 w:val="02000000000000000000"/>
    <w:charset w:val="86"/>
    <w:family w:val="script"/>
    <w:pitch w:val="default"/>
    <w:sig w:usb0="A00002BF" w:usb1="38CF7CFA" w:usb2="00082016" w:usb3="00000000" w:csb0="00040001" w:csb1="00000000"/>
    <w:embedRegular r:id="rId9" w:fontKey="{1E1EDD41-2AC5-4FF3-80EC-3C1A6068A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fldChar w:fldCharType="begin"/>
    </w:r>
    <w:r>
      <w:rPr>
        <w:rStyle w:val="20"/>
      </w:rPr>
      <w:instrText xml:space="preserve">PAGE  </w:instrText>
    </w:r>
    <w: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996EC"/>
    <w:multiLevelType w:val="singleLevel"/>
    <w:tmpl w:val="839996EC"/>
    <w:lvl w:ilvl="0" w:tentative="0">
      <w:start w:val="3"/>
      <w:numFmt w:val="decimal"/>
      <w:suff w:val="space"/>
      <w:lvlText w:val="%1."/>
      <w:lvlJc w:val="left"/>
    </w:lvl>
  </w:abstractNum>
  <w:abstractNum w:abstractNumId="1">
    <w:nsid w:val="8BAE06D0"/>
    <w:multiLevelType w:val="singleLevel"/>
    <w:tmpl w:val="8BAE06D0"/>
    <w:lvl w:ilvl="0" w:tentative="0">
      <w:start w:val="1"/>
      <w:numFmt w:val="decimal"/>
      <w:suff w:val="nothing"/>
      <w:lvlText w:val="%1、"/>
      <w:lvlJc w:val="left"/>
    </w:lvl>
  </w:abstractNum>
  <w:abstractNum w:abstractNumId="2">
    <w:nsid w:val="ABDE423B"/>
    <w:multiLevelType w:val="singleLevel"/>
    <w:tmpl w:val="ABDE423B"/>
    <w:lvl w:ilvl="0" w:tentative="0">
      <w:start w:val="1"/>
      <w:numFmt w:val="decimal"/>
      <w:suff w:val="nothing"/>
      <w:lvlText w:val="%1、"/>
      <w:lvlJc w:val="left"/>
    </w:lvl>
  </w:abstractNum>
  <w:abstractNum w:abstractNumId="3">
    <w:nsid w:val="BCA7E74B"/>
    <w:multiLevelType w:val="singleLevel"/>
    <w:tmpl w:val="BCA7E74B"/>
    <w:lvl w:ilvl="0" w:tentative="0">
      <w:start w:val="1"/>
      <w:numFmt w:val="decimal"/>
      <w:suff w:val="space"/>
      <w:lvlText w:val="%1."/>
      <w:lvlJc w:val="left"/>
    </w:lvl>
  </w:abstractNum>
  <w:abstractNum w:abstractNumId="4">
    <w:nsid w:val="77F6D929"/>
    <w:multiLevelType w:val="singleLevel"/>
    <w:tmpl w:val="77F6D929"/>
    <w:lvl w:ilvl="0" w:tentative="0">
      <w:start w:val="5"/>
      <w:numFmt w:val="decimal"/>
      <w:suff w:val="nothing"/>
      <w:lvlText w:val="%1、"/>
      <w:lvlJc w:val="left"/>
      <w:pPr>
        <w:ind w:left="-2"/>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044B2"/>
    <w:rsid w:val="000D3C95"/>
    <w:rsid w:val="004E32C4"/>
    <w:rsid w:val="0084167F"/>
    <w:rsid w:val="00D710CB"/>
    <w:rsid w:val="01021E85"/>
    <w:rsid w:val="01686C44"/>
    <w:rsid w:val="02184B53"/>
    <w:rsid w:val="022D68E4"/>
    <w:rsid w:val="0238233E"/>
    <w:rsid w:val="023F2A76"/>
    <w:rsid w:val="02FD1DCE"/>
    <w:rsid w:val="03840BE0"/>
    <w:rsid w:val="04FD34AC"/>
    <w:rsid w:val="055A6C54"/>
    <w:rsid w:val="05CD0122"/>
    <w:rsid w:val="05CF3B02"/>
    <w:rsid w:val="070C2974"/>
    <w:rsid w:val="072314B8"/>
    <w:rsid w:val="07B80588"/>
    <w:rsid w:val="07BC70C5"/>
    <w:rsid w:val="07CB7185"/>
    <w:rsid w:val="085458CF"/>
    <w:rsid w:val="08C52223"/>
    <w:rsid w:val="09687D82"/>
    <w:rsid w:val="0A0A2559"/>
    <w:rsid w:val="0A434A62"/>
    <w:rsid w:val="0B342586"/>
    <w:rsid w:val="0D374AE1"/>
    <w:rsid w:val="0DAA510A"/>
    <w:rsid w:val="0E012640"/>
    <w:rsid w:val="0E9D2104"/>
    <w:rsid w:val="0EBF14FF"/>
    <w:rsid w:val="0F2424C0"/>
    <w:rsid w:val="0F374A4F"/>
    <w:rsid w:val="10F933DF"/>
    <w:rsid w:val="10F954DE"/>
    <w:rsid w:val="110C77BE"/>
    <w:rsid w:val="118F19AE"/>
    <w:rsid w:val="11A4728E"/>
    <w:rsid w:val="11D445DF"/>
    <w:rsid w:val="12834833"/>
    <w:rsid w:val="1284678D"/>
    <w:rsid w:val="12A53E79"/>
    <w:rsid w:val="13644F4D"/>
    <w:rsid w:val="137E2755"/>
    <w:rsid w:val="143C360F"/>
    <w:rsid w:val="14D64014"/>
    <w:rsid w:val="150B4F87"/>
    <w:rsid w:val="155F02C2"/>
    <w:rsid w:val="15613208"/>
    <w:rsid w:val="16ED2EEF"/>
    <w:rsid w:val="171F69C5"/>
    <w:rsid w:val="173D251B"/>
    <w:rsid w:val="17761100"/>
    <w:rsid w:val="17AE3122"/>
    <w:rsid w:val="17E421F4"/>
    <w:rsid w:val="18A728D4"/>
    <w:rsid w:val="194073A9"/>
    <w:rsid w:val="195907FB"/>
    <w:rsid w:val="195E566D"/>
    <w:rsid w:val="19641692"/>
    <w:rsid w:val="198A7DBF"/>
    <w:rsid w:val="19B457C3"/>
    <w:rsid w:val="1A177AFF"/>
    <w:rsid w:val="1A3F21A1"/>
    <w:rsid w:val="1A49289E"/>
    <w:rsid w:val="1B557850"/>
    <w:rsid w:val="1B6F2624"/>
    <w:rsid w:val="1BAF5813"/>
    <w:rsid w:val="1C09461F"/>
    <w:rsid w:val="1CE642FE"/>
    <w:rsid w:val="1D906CB6"/>
    <w:rsid w:val="1DB60BB8"/>
    <w:rsid w:val="1EDF4851"/>
    <w:rsid w:val="1F204E11"/>
    <w:rsid w:val="1F3E0845"/>
    <w:rsid w:val="1F4B28C3"/>
    <w:rsid w:val="1FA07420"/>
    <w:rsid w:val="20DC67F6"/>
    <w:rsid w:val="20EA596C"/>
    <w:rsid w:val="21C95ED5"/>
    <w:rsid w:val="22BE1704"/>
    <w:rsid w:val="22E95287"/>
    <w:rsid w:val="232F4EFD"/>
    <w:rsid w:val="2363030E"/>
    <w:rsid w:val="2373758E"/>
    <w:rsid w:val="238E142E"/>
    <w:rsid w:val="23CF2495"/>
    <w:rsid w:val="24104A0F"/>
    <w:rsid w:val="24EC291B"/>
    <w:rsid w:val="257C1451"/>
    <w:rsid w:val="258C3364"/>
    <w:rsid w:val="25D76AD9"/>
    <w:rsid w:val="26DB0A20"/>
    <w:rsid w:val="26F04782"/>
    <w:rsid w:val="26FE7A26"/>
    <w:rsid w:val="2752489F"/>
    <w:rsid w:val="27743AC3"/>
    <w:rsid w:val="28AA4B54"/>
    <w:rsid w:val="28C768D9"/>
    <w:rsid w:val="293D3CFD"/>
    <w:rsid w:val="29B56AD3"/>
    <w:rsid w:val="2A08700D"/>
    <w:rsid w:val="2A6A456D"/>
    <w:rsid w:val="2B165076"/>
    <w:rsid w:val="2BB962A7"/>
    <w:rsid w:val="2BC60496"/>
    <w:rsid w:val="2C4021EC"/>
    <w:rsid w:val="2C845130"/>
    <w:rsid w:val="2CBC6DB5"/>
    <w:rsid w:val="2D6247D9"/>
    <w:rsid w:val="2E3D23C5"/>
    <w:rsid w:val="2F147DA4"/>
    <w:rsid w:val="2FAB10FB"/>
    <w:rsid w:val="30C6745A"/>
    <w:rsid w:val="31016B6D"/>
    <w:rsid w:val="32611095"/>
    <w:rsid w:val="328D1D6F"/>
    <w:rsid w:val="32BE0062"/>
    <w:rsid w:val="32D25857"/>
    <w:rsid w:val="32F344DF"/>
    <w:rsid w:val="33227C3D"/>
    <w:rsid w:val="337B0E24"/>
    <w:rsid w:val="338D53A8"/>
    <w:rsid w:val="33C94F38"/>
    <w:rsid w:val="33E02EB4"/>
    <w:rsid w:val="34801D4C"/>
    <w:rsid w:val="35A91BAE"/>
    <w:rsid w:val="35F627D7"/>
    <w:rsid w:val="366E0900"/>
    <w:rsid w:val="36AB36BF"/>
    <w:rsid w:val="37920A6C"/>
    <w:rsid w:val="37EC3976"/>
    <w:rsid w:val="38022830"/>
    <w:rsid w:val="386304C6"/>
    <w:rsid w:val="38716DAD"/>
    <w:rsid w:val="38DE2B0A"/>
    <w:rsid w:val="399E2224"/>
    <w:rsid w:val="399F78E9"/>
    <w:rsid w:val="39CC3616"/>
    <w:rsid w:val="39EF396B"/>
    <w:rsid w:val="3A541392"/>
    <w:rsid w:val="3A9E5ECD"/>
    <w:rsid w:val="3B0B2666"/>
    <w:rsid w:val="3B4E14F1"/>
    <w:rsid w:val="3BCE712B"/>
    <w:rsid w:val="3CAB14B1"/>
    <w:rsid w:val="3D3E6136"/>
    <w:rsid w:val="3D5B4133"/>
    <w:rsid w:val="3D661F3E"/>
    <w:rsid w:val="3DE96510"/>
    <w:rsid w:val="3DEA5B02"/>
    <w:rsid w:val="3E697882"/>
    <w:rsid w:val="3E835F65"/>
    <w:rsid w:val="3F707FD9"/>
    <w:rsid w:val="3F98425E"/>
    <w:rsid w:val="40303C6A"/>
    <w:rsid w:val="40342C14"/>
    <w:rsid w:val="422C775E"/>
    <w:rsid w:val="424937F2"/>
    <w:rsid w:val="4277619B"/>
    <w:rsid w:val="42852DB7"/>
    <w:rsid w:val="42A81135"/>
    <w:rsid w:val="43AF4153"/>
    <w:rsid w:val="43D80706"/>
    <w:rsid w:val="43FB1DB7"/>
    <w:rsid w:val="44281422"/>
    <w:rsid w:val="453615F0"/>
    <w:rsid w:val="45F5552D"/>
    <w:rsid w:val="460B23CD"/>
    <w:rsid w:val="46DC65A5"/>
    <w:rsid w:val="46E56279"/>
    <w:rsid w:val="46E6175B"/>
    <w:rsid w:val="473400FC"/>
    <w:rsid w:val="47C07AFC"/>
    <w:rsid w:val="480B5C56"/>
    <w:rsid w:val="481154A6"/>
    <w:rsid w:val="481C0049"/>
    <w:rsid w:val="481E3857"/>
    <w:rsid w:val="482350CA"/>
    <w:rsid w:val="48D1310D"/>
    <w:rsid w:val="4923179B"/>
    <w:rsid w:val="49312681"/>
    <w:rsid w:val="495C0E8A"/>
    <w:rsid w:val="4992767E"/>
    <w:rsid w:val="49FB69F4"/>
    <w:rsid w:val="4A8152C1"/>
    <w:rsid w:val="4AC43C29"/>
    <w:rsid w:val="4B1341DC"/>
    <w:rsid w:val="4B5044B2"/>
    <w:rsid w:val="4B7E4634"/>
    <w:rsid w:val="4BA4375C"/>
    <w:rsid w:val="4C0C5353"/>
    <w:rsid w:val="4C3250F6"/>
    <w:rsid w:val="4C604222"/>
    <w:rsid w:val="4CC04AB8"/>
    <w:rsid w:val="4D2C27BF"/>
    <w:rsid w:val="4EC155E4"/>
    <w:rsid w:val="4F215FD3"/>
    <w:rsid w:val="4F3950C1"/>
    <w:rsid w:val="4F7C3010"/>
    <w:rsid w:val="501F5C42"/>
    <w:rsid w:val="50D64EE6"/>
    <w:rsid w:val="50DA0DC9"/>
    <w:rsid w:val="50F807B4"/>
    <w:rsid w:val="51431CCF"/>
    <w:rsid w:val="515847CB"/>
    <w:rsid w:val="517946FB"/>
    <w:rsid w:val="51C84928"/>
    <w:rsid w:val="5216488A"/>
    <w:rsid w:val="532456A2"/>
    <w:rsid w:val="53303425"/>
    <w:rsid w:val="53982939"/>
    <w:rsid w:val="53994C77"/>
    <w:rsid w:val="53BF73EE"/>
    <w:rsid w:val="53C538F5"/>
    <w:rsid w:val="53C914D7"/>
    <w:rsid w:val="54D655FB"/>
    <w:rsid w:val="572C088B"/>
    <w:rsid w:val="5730776A"/>
    <w:rsid w:val="573A017D"/>
    <w:rsid w:val="57794831"/>
    <w:rsid w:val="57871168"/>
    <w:rsid w:val="57A82DA7"/>
    <w:rsid w:val="58255E64"/>
    <w:rsid w:val="58261DFA"/>
    <w:rsid w:val="5868408D"/>
    <w:rsid w:val="59455524"/>
    <w:rsid w:val="59490873"/>
    <w:rsid w:val="599F3AF0"/>
    <w:rsid w:val="59B32727"/>
    <w:rsid w:val="5A1F33E9"/>
    <w:rsid w:val="5A576B0C"/>
    <w:rsid w:val="5B2919A0"/>
    <w:rsid w:val="5BC21113"/>
    <w:rsid w:val="5BD61095"/>
    <w:rsid w:val="5C9704E6"/>
    <w:rsid w:val="5CEF1DDE"/>
    <w:rsid w:val="5E0F5107"/>
    <w:rsid w:val="5E2E2A32"/>
    <w:rsid w:val="5E325889"/>
    <w:rsid w:val="5EB25A0A"/>
    <w:rsid w:val="5ED04B15"/>
    <w:rsid w:val="5F056F97"/>
    <w:rsid w:val="5FC5101E"/>
    <w:rsid w:val="5FE537B1"/>
    <w:rsid w:val="5FE731F5"/>
    <w:rsid w:val="60284B24"/>
    <w:rsid w:val="60704436"/>
    <w:rsid w:val="610B01F2"/>
    <w:rsid w:val="622F3564"/>
    <w:rsid w:val="62860742"/>
    <w:rsid w:val="62B37A1E"/>
    <w:rsid w:val="63052770"/>
    <w:rsid w:val="63D825A1"/>
    <w:rsid w:val="643016E3"/>
    <w:rsid w:val="64864FE5"/>
    <w:rsid w:val="657657EC"/>
    <w:rsid w:val="65FF20F8"/>
    <w:rsid w:val="66052296"/>
    <w:rsid w:val="66CD565F"/>
    <w:rsid w:val="66CE27B4"/>
    <w:rsid w:val="674403F4"/>
    <w:rsid w:val="674B3DEC"/>
    <w:rsid w:val="6791080F"/>
    <w:rsid w:val="67BC0772"/>
    <w:rsid w:val="68283644"/>
    <w:rsid w:val="68964591"/>
    <w:rsid w:val="698B2CCC"/>
    <w:rsid w:val="69A93D89"/>
    <w:rsid w:val="69C924B8"/>
    <w:rsid w:val="6A1F7777"/>
    <w:rsid w:val="6B1B60E9"/>
    <w:rsid w:val="6B890A71"/>
    <w:rsid w:val="6B8B0DB2"/>
    <w:rsid w:val="6BFC311D"/>
    <w:rsid w:val="6CB221FE"/>
    <w:rsid w:val="6CC74AFE"/>
    <w:rsid w:val="6D132BDA"/>
    <w:rsid w:val="6D336C6D"/>
    <w:rsid w:val="6D3F39A3"/>
    <w:rsid w:val="6D684093"/>
    <w:rsid w:val="6DDE795D"/>
    <w:rsid w:val="6DF83AD0"/>
    <w:rsid w:val="6E0E7646"/>
    <w:rsid w:val="6E4D3570"/>
    <w:rsid w:val="6E5B174A"/>
    <w:rsid w:val="6E5B71CB"/>
    <w:rsid w:val="6E60090F"/>
    <w:rsid w:val="6F0B49AA"/>
    <w:rsid w:val="6F3A2182"/>
    <w:rsid w:val="6F3C3D8D"/>
    <w:rsid w:val="6F6B263E"/>
    <w:rsid w:val="6F721843"/>
    <w:rsid w:val="70A833E2"/>
    <w:rsid w:val="7226303B"/>
    <w:rsid w:val="72A515DE"/>
    <w:rsid w:val="72BE71B0"/>
    <w:rsid w:val="73A3742B"/>
    <w:rsid w:val="73F975AA"/>
    <w:rsid w:val="742C30F3"/>
    <w:rsid w:val="74614675"/>
    <w:rsid w:val="74B22D80"/>
    <w:rsid w:val="74D83FEB"/>
    <w:rsid w:val="74EF1F2A"/>
    <w:rsid w:val="74FE0DBC"/>
    <w:rsid w:val="75275EF3"/>
    <w:rsid w:val="7617070F"/>
    <w:rsid w:val="769546E0"/>
    <w:rsid w:val="769C1BE5"/>
    <w:rsid w:val="76E63F67"/>
    <w:rsid w:val="77760644"/>
    <w:rsid w:val="77C95950"/>
    <w:rsid w:val="77F36EE3"/>
    <w:rsid w:val="78061F7B"/>
    <w:rsid w:val="78120FDC"/>
    <w:rsid w:val="783429E0"/>
    <w:rsid w:val="783768FF"/>
    <w:rsid w:val="787D06D6"/>
    <w:rsid w:val="789A50D2"/>
    <w:rsid w:val="79024E85"/>
    <w:rsid w:val="794276C4"/>
    <w:rsid w:val="7A001C17"/>
    <w:rsid w:val="7ABC75A2"/>
    <w:rsid w:val="7ADD300D"/>
    <w:rsid w:val="7AE307E4"/>
    <w:rsid w:val="7C025E1A"/>
    <w:rsid w:val="7C462F18"/>
    <w:rsid w:val="7CF8729B"/>
    <w:rsid w:val="7D0D31C2"/>
    <w:rsid w:val="7D3F18B2"/>
    <w:rsid w:val="7D7045D5"/>
    <w:rsid w:val="7D8950E3"/>
    <w:rsid w:val="7DFB5B81"/>
    <w:rsid w:val="7E1F184C"/>
    <w:rsid w:val="7E466D20"/>
    <w:rsid w:val="7E721280"/>
    <w:rsid w:val="7E934E0D"/>
    <w:rsid w:val="7EA72AC3"/>
    <w:rsid w:val="7F772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2">
    <w:name w:val="heading 3"/>
    <w:basedOn w:val="1"/>
    <w:next w:val="1"/>
    <w:qFormat/>
    <w:uiPriority w:val="0"/>
    <w:pPr>
      <w:keepNext/>
      <w:keepLines/>
      <w:adjustRightInd w:val="0"/>
      <w:spacing w:line="360" w:lineRule="auto"/>
      <w:jc w:val="left"/>
      <w:outlineLvl w:val="2"/>
    </w:pPr>
    <w:rPr>
      <w:rFonts w:ascii="宋体" w:hAnsi="宋体"/>
      <w:color w:val="000000"/>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tabs>
        <w:tab w:val="left" w:pos="765"/>
      </w:tabs>
      <w:spacing w:line="300" w:lineRule="auto"/>
      <w:ind w:firstLine="493" w:firstLineChars="200"/>
    </w:pPr>
    <w:rPr>
      <w:rFonts w:ascii="仿宋_GB2312" w:eastAsia="仿宋_GB2312"/>
      <w:color w:val="000000"/>
      <w:sz w:val="28"/>
    </w:rPr>
  </w:style>
  <w:style w:type="paragraph" w:styleId="5">
    <w:name w:val="annotation text"/>
    <w:basedOn w:val="1"/>
    <w:semiHidden/>
    <w:qFormat/>
    <w:uiPriority w:val="0"/>
    <w:pPr>
      <w:jc w:val="left"/>
    </w:pPr>
    <w:rPr>
      <w:kern w:val="0"/>
      <w:sz w:val="24"/>
      <w:szCs w:val="20"/>
    </w:rPr>
  </w:style>
  <w:style w:type="paragraph" w:styleId="6">
    <w:name w:val="Body Text"/>
    <w:basedOn w:val="1"/>
    <w:next w:val="1"/>
    <w:qFormat/>
    <w:uiPriority w:val="99"/>
    <w:pPr>
      <w:spacing w:after="120" w:afterLines="0" w:afterAutospacing="0"/>
    </w:pPr>
    <w:rPr>
      <w:rFonts w:ascii="Calibri" w:hAnsi="Calibri"/>
    </w:rPr>
  </w:style>
  <w:style w:type="paragraph" w:styleId="7">
    <w:name w:val="Body Text Indent"/>
    <w:basedOn w:val="1"/>
    <w:qFormat/>
    <w:uiPriority w:val="0"/>
    <w:pPr>
      <w:tabs>
        <w:tab w:val="left" w:pos="1200"/>
      </w:tabs>
      <w:adjustRightInd w:val="0"/>
      <w:snapToGrid w:val="0"/>
      <w:spacing w:line="400" w:lineRule="exact"/>
      <w:ind w:right="32" w:firstLine="480" w:firstLineChars="200"/>
    </w:pPr>
    <w:rPr>
      <w:rFonts w:ascii="宋体" w:hAnsi="宋体"/>
      <w:color w:val="000000"/>
      <w:sz w:val="24"/>
    </w:r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tabs>
        <w:tab w:val="left" w:pos="1200"/>
      </w:tabs>
      <w:spacing w:line="400" w:lineRule="exact"/>
      <w:ind w:firstLine="480" w:firstLineChars="200"/>
    </w:pPr>
    <w:rPr>
      <w:rFonts w:ascii="宋体" w:hAnsi="宋体"/>
      <w:kern w:val="0"/>
      <w:sz w:val="20"/>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tabs>
        <w:tab w:val="center" w:pos="4153"/>
        <w:tab w:val="right" w:pos="8306"/>
      </w:tabs>
      <w:snapToGrid w:val="0"/>
      <w:jc w:val="center"/>
    </w:pPr>
    <w:rPr>
      <w:sz w:val="18"/>
    </w:rPr>
  </w:style>
  <w:style w:type="paragraph" w:styleId="12">
    <w:name w:val="index heading"/>
    <w:basedOn w:val="1"/>
    <w:next w:val="13"/>
    <w:qFormat/>
    <w:uiPriority w:val="0"/>
    <w:rPr>
      <w:szCs w:val="20"/>
    </w:rPr>
  </w:style>
  <w:style w:type="paragraph" w:styleId="13">
    <w:name w:val="index 1"/>
    <w:basedOn w:val="1"/>
    <w:next w:val="1"/>
    <w:qFormat/>
    <w:uiPriority w:val="0"/>
    <w:pPr>
      <w:jc w:val="center"/>
    </w:pPr>
    <w:rPr>
      <w:szCs w:val="20"/>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2"/>
    <w:basedOn w:val="1"/>
    <w:next w:val="1"/>
    <w:qFormat/>
    <w:uiPriority w:val="0"/>
    <w:pPr>
      <w:snapToGrid w:val="0"/>
      <w:spacing w:line="360" w:lineRule="auto"/>
      <w:ind w:firstLine="420" w:firstLineChars="200"/>
    </w:pPr>
    <w:rPr>
      <w:sz w:val="24"/>
      <w:szCs w:val="24"/>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page number"/>
    <w:basedOn w:val="18"/>
    <w:qFormat/>
    <w:uiPriority w:val="0"/>
  </w:style>
  <w:style w:type="character" w:styleId="21">
    <w:name w:val="Hyperlink"/>
    <w:basedOn w:val="18"/>
    <w:qFormat/>
    <w:uiPriority w:val="0"/>
    <w:rPr>
      <w:color w:val="0000FF"/>
      <w:u w:val="single"/>
    </w:rPr>
  </w:style>
  <w:style w:type="character" w:styleId="22">
    <w:name w:val="annotation reference"/>
    <w:semiHidden/>
    <w:qFormat/>
    <w:uiPriority w:val="0"/>
    <w:rPr>
      <w:sz w:val="21"/>
    </w:rPr>
  </w:style>
  <w:style w:type="paragraph" w:customStyle="1" w:styleId="2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封面一号 居中"/>
    <w:basedOn w:val="1"/>
    <w:qFormat/>
    <w:uiPriority w:val="0"/>
    <w:pPr>
      <w:jc w:val="center"/>
    </w:pPr>
    <w:rPr>
      <w:b/>
      <w:sz w:val="52"/>
    </w:rPr>
  </w:style>
  <w:style w:type="paragraph" w:customStyle="1" w:styleId="25">
    <w:name w:val="封面小二 居中"/>
    <w:basedOn w:val="1"/>
    <w:qFormat/>
    <w:uiPriority w:val="0"/>
    <w:pPr>
      <w:jc w:val="center"/>
    </w:pPr>
    <w:rPr>
      <w:sz w:val="36"/>
    </w:rPr>
  </w:style>
  <w:style w:type="paragraph" w:customStyle="1" w:styleId="26">
    <w:name w:val="封面三号 加粗"/>
    <w:basedOn w:val="1"/>
    <w:qFormat/>
    <w:uiPriority w:val="0"/>
    <w:pPr>
      <w:ind w:firstLine="200" w:firstLineChars="200"/>
    </w:pPr>
    <w:rPr>
      <w:b/>
      <w:sz w:val="32"/>
    </w:rPr>
  </w:style>
  <w:style w:type="paragraph" w:customStyle="1" w:styleId="27">
    <w:name w:val="封面三号字 居中"/>
    <w:basedOn w:val="1"/>
    <w:qFormat/>
    <w:uiPriority w:val="0"/>
    <w:pPr>
      <w:jc w:val="center"/>
    </w:pPr>
    <w:rPr>
      <w:sz w:val="32"/>
    </w:rPr>
  </w:style>
  <w:style w:type="paragraph" w:customStyle="1" w:styleId="28">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9">
    <w:name w:val="表格文字"/>
    <w:basedOn w:val="8"/>
    <w:next w:val="1"/>
    <w:qFormat/>
    <w:uiPriority w:val="0"/>
    <w:pPr>
      <w:tabs>
        <w:tab w:val="left" w:pos="1200"/>
      </w:tabs>
      <w:spacing w:line="400" w:lineRule="exact"/>
      <w:jc w:val="center"/>
    </w:pPr>
    <w:rPr>
      <w:rFonts w:ascii="宋体" w:hAnsi="宋体"/>
      <w:sz w:val="24"/>
    </w:rPr>
  </w:style>
  <w:style w:type="paragraph" w:customStyle="1" w:styleId="30">
    <w:name w:val="表文字-ds"/>
    <w:basedOn w:val="1"/>
    <w:qFormat/>
    <w:uiPriority w:val="0"/>
    <w:pPr>
      <w:spacing w:line="240" w:lineRule="auto"/>
      <w:ind w:firstLine="0" w:firstLineChars="0"/>
      <w:jc w:val="center"/>
    </w:pPr>
    <w:rPr>
      <w:rFonts w:ascii="Times New Roman" w:hAnsi="Times New Roman"/>
      <w:sz w:val="21"/>
    </w:rPr>
  </w:style>
  <w:style w:type="paragraph" w:customStyle="1" w:styleId="31">
    <w:name w:val="标题表"/>
    <w:basedOn w:val="1"/>
    <w:qFormat/>
    <w:uiPriority w:val="0"/>
    <w:pPr>
      <w:spacing w:line="400" w:lineRule="exact"/>
      <w:ind w:firstLine="0" w:firstLineChars="0"/>
      <w:jc w:val="center"/>
    </w:pPr>
    <w:rPr>
      <w:rFonts w:ascii="Times New Roman" w:hAnsi="Times New Roman"/>
      <w:b/>
    </w:rPr>
  </w:style>
  <w:style w:type="paragraph" w:customStyle="1" w:styleId="32">
    <w:name w:val="正文zy"/>
    <w:basedOn w:val="1"/>
    <w:qFormat/>
    <w:uiPriority w:val="0"/>
    <w:pPr>
      <w:snapToGrid w:val="0"/>
      <w:spacing w:line="360" w:lineRule="auto"/>
      <w:ind w:firstLine="480" w:firstLineChars="200"/>
    </w:pPr>
    <w:rPr>
      <w:rFonts w:ascii="Calibri" w:hAnsi="Calibri" w:eastAsia="微软雅黑"/>
      <w:color w:val="000000"/>
      <w:sz w:val="24"/>
      <w:szCs w:val="22"/>
    </w:rPr>
  </w:style>
  <w:style w:type="character" w:customStyle="1" w:styleId="33">
    <w:name w:val="_Style 4"/>
    <w:qFormat/>
    <w:uiPriority w:val="31"/>
    <w:rPr>
      <w:smallCaps/>
      <w:color w:val="C0504D"/>
      <w:u w:val="single"/>
    </w:rPr>
  </w:style>
  <w:style w:type="character" w:customStyle="1" w:styleId="34">
    <w:name w:val="font41"/>
    <w:basedOn w:val="18"/>
    <w:qFormat/>
    <w:uiPriority w:val="0"/>
    <w:rPr>
      <w:rFonts w:hint="eastAsia" w:ascii="宋体" w:hAnsi="宋体" w:eastAsia="宋体" w:cs="宋体"/>
      <w:color w:val="000000"/>
      <w:sz w:val="18"/>
      <w:szCs w:val="18"/>
      <w:u w:val="none"/>
    </w:rPr>
  </w:style>
  <w:style w:type="character" w:customStyle="1" w:styleId="35">
    <w:name w:val="font51"/>
    <w:basedOn w:val="18"/>
    <w:qFormat/>
    <w:uiPriority w:val="0"/>
    <w:rPr>
      <w:rFonts w:hint="default" w:ascii="Times New Roman" w:hAnsi="Times New Roman" w:cs="Times New Roman"/>
      <w:color w:val="000000"/>
      <w:sz w:val="18"/>
      <w:szCs w:val="18"/>
      <w:u w:val="none"/>
    </w:rPr>
  </w:style>
  <w:style w:type="paragraph" w:customStyle="1" w:styleId="36">
    <w:name w:val="表头样式1"/>
    <w:basedOn w:val="1"/>
    <w:qFormat/>
    <w:uiPriority w:val="0"/>
    <w:pPr>
      <w:tabs>
        <w:tab w:val="center" w:pos="4505"/>
      </w:tabs>
      <w:spacing w:beforeLines="30" w:afterLines="30"/>
      <w:jc w:val="center"/>
    </w:pPr>
    <w:rPr>
      <w:b/>
    </w:rPr>
  </w:style>
  <w:style w:type="paragraph" w:customStyle="1" w:styleId="37">
    <w:name w:val="【表格】"/>
    <w:next w:val="1"/>
    <w:qFormat/>
    <w:uiPriority w:val="99"/>
    <w:pPr>
      <w:spacing w:line="0" w:lineRule="atLeast"/>
      <w:jc w:val="center"/>
    </w:pPr>
    <w:rPr>
      <w:rFonts w:ascii="Times New Roman" w:hAnsi="Times New Roman" w:eastAsia="宋体" w:cs="Times New Roman"/>
      <w:sz w:val="21"/>
      <w:szCs w:val="24"/>
      <w:lang w:val="en-US" w:eastAsia="zh-CN" w:bidi="ar-SA"/>
    </w:rPr>
  </w:style>
  <w:style w:type="paragraph" w:customStyle="1" w:styleId="38">
    <w:name w:val="正文缩进2字符"/>
    <w:basedOn w:val="1"/>
    <w:qFormat/>
    <w:uiPriority w:val="0"/>
    <w:pPr>
      <w:spacing w:line="360" w:lineRule="auto"/>
      <w:ind w:firstLine="420" w:firstLineChars="200"/>
      <w:jc w:val="left"/>
    </w:pPr>
    <w:rPr>
      <w:sz w:val="24"/>
    </w:rPr>
  </w:style>
  <w:style w:type="character" w:customStyle="1" w:styleId="39">
    <w:name w:val="font21"/>
    <w:basedOn w:val="18"/>
    <w:qFormat/>
    <w:uiPriority w:val="0"/>
    <w:rPr>
      <w:rFonts w:hint="default" w:ascii="Arial" w:hAnsi="Arial" w:cs="Arial"/>
      <w:color w:val="000000"/>
      <w:sz w:val="20"/>
      <w:szCs w:val="20"/>
      <w:u w:val="none"/>
    </w:rPr>
  </w:style>
  <w:style w:type="character" w:customStyle="1" w:styleId="40">
    <w:name w:val="font01"/>
    <w:basedOn w:val="18"/>
    <w:qFormat/>
    <w:uiPriority w:val="0"/>
    <w:rPr>
      <w:rFonts w:hint="default" w:ascii="Arial" w:hAnsi="Arial" w:cs="Arial"/>
      <w:color w:val="000000"/>
      <w:sz w:val="22"/>
      <w:szCs w:val="22"/>
      <w:u w:val="none"/>
    </w:rPr>
  </w:style>
  <w:style w:type="character" w:customStyle="1" w:styleId="41">
    <w:name w:val="font31"/>
    <w:basedOn w:val="18"/>
    <w:qFormat/>
    <w:uiPriority w:val="0"/>
    <w:rPr>
      <w:rFonts w:hint="eastAsia" w:ascii="宋体" w:hAnsi="宋体" w:eastAsia="宋体" w:cs="宋体"/>
      <w:color w:val="000000"/>
      <w:sz w:val="22"/>
      <w:szCs w:val="22"/>
      <w:u w:val="none"/>
    </w:rPr>
  </w:style>
  <w:style w:type="character" w:customStyle="1" w:styleId="42">
    <w:name w:val="font11"/>
    <w:basedOn w:val="18"/>
    <w:qFormat/>
    <w:uiPriority w:val="0"/>
    <w:rPr>
      <w:rFonts w:hint="default" w:ascii="Times New Roman" w:hAnsi="Times New Roman" w:cs="Times New Roman"/>
      <w:color w:val="000000"/>
      <w:sz w:val="21"/>
      <w:szCs w:val="21"/>
      <w:u w:val="none"/>
    </w:rPr>
  </w:style>
  <w:style w:type="paragraph" w:customStyle="1" w:styleId="43">
    <w:name w:val="[Normal]"/>
    <w:unhideWhenUsed/>
    <w:qFormat/>
    <w:uiPriority w:val="0"/>
    <w:pPr>
      <w:widowControl w:val="0"/>
      <w:autoSpaceDE w:val="0"/>
      <w:autoSpaceDN w:val="0"/>
      <w:adjustRightInd w:val="0"/>
      <w:spacing w:beforeLines="0" w:afterLines="0"/>
    </w:pPr>
    <w:rPr>
      <w:rFonts w:hint="eastAsia" w:ascii="新宋体" w:hAnsi="新宋体" w:eastAsia="宋体" w:cs="Times New Roman"/>
      <w:sz w:val="24"/>
      <w:szCs w:val="24"/>
      <w:lang w:val="en-US" w:eastAsia="zh-CN" w:bidi="ar-SA"/>
    </w:rPr>
  </w:style>
  <w:style w:type="paragraph" w:styleId="44">
    <w:name w:val="List Paragraph"/>
    <w:basedOn w:val="1"/>
    <w:qFormat/>
    <w:uiPriority w:val="34"/>
    <w:pPr>
      <w:ind w:firstLine="420" w:firstLineChars="200"/>
    </w:pPr>
  </w:style>
  <w:style w:type="paragraph" w:customStyle="1" w:styleId="45">
    <w:name w:val="表格内容"/>
    <w:basedOn w:val="1"/>
    <w:qFormat/>
    <w:uiPriority w:val="0"/>
    <w:pPr>
      <w:adjustRightInd w:val="0"/>
      <w:snapToGrid w:val="0"/>
      <w:jc w:val="center"/>
    </w:pPr>
    <w:rPr>
      <w:kern w:val="0"/>
      <w:szCs w:val="20"/>
    </w:rPr>
  </w:style>
  <w:style w:type="paragraph" w:customStyle="1" w:styleId="46">
    <w:name w:val="Table Paragraph"/>
    <w:basedOn w:val="1"/>
    <w:qFormat/>
    <w:uiPriority w:val="1"/>
    <w:rPr>
      <w:rFonts w:ascii="Noto Sans CJK JP Regular" w:hAnsi="Noto Sans CJK JP Regular" w:eastAsia="Noto Sans CJK JP Regular" w:cs="Noto Sans CJK JP Regular"/>
      <w:lang w:val="zh-CN" w:eastAsia="zh-CN" w:bidi="zh-CN"/>
    </w:rPr>
  </w:style>
  <w:style w:type="paragraph" w:customStyle="1" w:styleId="47">
    <w:name w:val="表标题"/>
    <w:basedOn w:val="6"/>
    <w:next w:val="6"/>
    <w:qFormat/>
    <w:uiPriority w:val="0"/>
    <w:pPr>
      <w:spacing w:after="0" w:line="400" w:lineRule="exact"/>
      <w:jc w:val="center"/>
    </w:pPr>
    <w:rPr>
      <w:snapToGrid w:val="0"/>
      <w:spacing w:val="-4"/>
      <w:kern w:val="0"/>
      <w:sz w:val="24"/>
    </w:rPr>
  </w:style>
  <w:style w:type="paragraph" w:customStyle="1" w:styleId="48">
    <w:name w:val="小表格文字"/>
    <w:basedOn w:val="1"/>
    <w:qFormat/>
    <w:uiPriority w:val="0"/>
    <w:pPr>
      <w:jc w:val="center"/>
    </w:pPr>
  </w:style>
  <w:style w:type="paragraph" w:customStyle="1" w:styleId="49">
    <w:name w:val="表表文字"/>
    <w:basedOn w:val="1"/>
    <w:qFormat/>
    <w:uiPriority w:val="0"/>
    <w:pPr>
      <w:wordWrap w:val="0"/>
      <w:adjustRightInd w:val="0"/>
      <w:snapToGrid w:val="0"/>
      <w:jc w:val="center"/>
    </w:pPr>
    <w:rPr>
      <w:kern w:val="0"/>
      <w:sz w:val="20"/>
      <w:szCs w:val="21"/>
    </w:rPr>
  </w:style>
  <w:style w:type="paragraph" w:customStyle="1" w:styleId="50">
    <w:name w:val="表格字体"/>
    <w:basedOn w:val="29"/>
    <w:next w:val="29"/>
    <w:qFormat/>
    <w:uiPriority w:val="0"/>
    <w:pPr>
      <w:adjustRightInd w:val="0"/>
      <w:snapToGrid w:val="0"/>
      <w:ind w:firstLine="0" w:firstLineChars="0"/>
      <w:jc w:val="center"/>
    </w:pPr>
    <w:rPr>
      <w:snapToGrid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35660</Words>
  <Characters>41963</Characters>
  <Lines>0</Lines>
  <Paragraphs>0</Paragraphs>
  <TotalTime>68</TotalTime>
  <ScaleCrop>false</ScaleCrop>
  <LinksUpToDate>false</LinksUpToDate>
  <CharactersWithSpaces>42455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2021-03-02T05:32:00Z</dcterms:created>
  <dc:creator>九日</dc:creator>
  <cp:lastModifiedBy>九日</cp:lastModifiedBy>
  <cp:lastPrinted>2021-09-28T02:22:00Z</cp:lastPrinted>
  <dcterms:modified xsi:type="dcterms:W3CDTF">2021-11-10T08:30:18Z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368284014_embed</vt:lpwstr>
  </property>
  <property fmtid="{D5CDD505-2E9C-101B-9397-08002B2CF9AE}" pid="4" name="ICV">
    <vt:lpwstr>51A603E462494D0B92CD59C0BE66DB04</vt:lpwstr>
  </property>
</Properties>
</file>