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FF0000"/>
          <w:bottom w:val="single" w:sz="48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8538"/>
        <w:gridCol w:w="175"/>
      </w:tblGrid>
      <w:tr w:rsidR="006F21FA">
        <w:trPr>
          <w:gridBefore w:val="1"/>
          <w:gridAfter w:val="1"/>
          <w:wBefore w:w="80" w:type="dxa"/>
          <w:wAfter w:w="175" w:type="dxa"/>
          <w:trHeight w:val="432"/>
        </w:trPr>
        <w:tc>
          <w:tcPr>
            <w:tcW w:w="8538" w:type="dxa"/>
            <w:tcBorders>
              <w:top w:val="nil"/>
              <w:bottom w:val="nil"/>
            </w:tcBorders>
          </w:tcPr>
          <w:p w:rsidR="006F21FA" w:rsidRDefault="006F21FA">
            <w:pPr>
              <w:spacing w:line="440" w:lineRule="exact"/>
              <w:rPr>
                <w:rFonts w:ascii="方正姚体" w:eastAsia="方正姚体"/>
                <w:color w:val="FF0000"/>
                <w:w w:val="80"/>
                <w:szCs w:val="21"/>
              </w:rPr>
            </w:pPr>
          </w:p>
        </w:tc>
      </w:tr>
      <w:tr w:rsidR="006F21FA">
        <w:trPr>
          <w:gridBefore w:val="1"/>
          <w:gridAfter w:val="1"/>
          <w:wBefore w:w="80" w:type="dxa"/>
          <w:wAfter w:w="175" w:type="dxa"/>
          <w:trHeight w:val="432"/>
        </w:trPr>
        <w:tc>
          <w:tcPr>
            <w:tcW w:w="8538" w:type="dxa"/>
            <w:tcBorders>
              <w:top w:val="nil"/>
            </w:tcBorders>
          </w:tcPr>
          <w:p w:rsidR="006F21FA" w:rsidRDefault="006F21FA">
            <w:pPr>
              <w:spacing w:line="440" w:lineRule="exact"/>
              <w:rPr>
                <w:rFonts w:ascii="方正姚体" w:eastAsia="方正姚体"/>
                <w:color w:val="FF0000"/>
                <w:w w:val="80"/>
                <w:sz w:val="32"/>
                <w:szCs w:val="32"/>
              </w:rPr>
            </w:pPr>
          </w:p>
        </w:tc>
      </w:tr>
      <w:tr w:rsidR="006F21FA" w:rsidRPr="003D53BC">
        <w:trPr>
          <w:trHeight w:val="1838"/>
        </w:trPr>
        <w:tc>
          <w:tcPr>
            <w:tcW w:w="8780" w:type="dxa"/>
            <w:gridSpan w:val="3"/>
          </w:tcPr>
          <w:p w:rsidR="006F21FA" w:rsidRPr="003D53BC" w:rsidRDefault="006F21FA" w:rsidP="00A90A66">
            <w:pPr>
              <w:ind w:rightChars="29" w:right="61"/>
              <w:jc w:val="distribute"/>
              <w:rPr>
                <w:rFonts w:ascii="方正姚体" w:eastAsia="方正姚体"/>
                <w:color w:val="FF0000"/>
                <w:spacing w:val="-40"/>
                <w:w w:val="64"/>
                <w:sz w:val="120"/>
                <w:szCs w:val="120"/>
              </w:rPr>
            </w:pPr>
            <w:r w:rsidRPr="003D53BC">
              <w:rPr>
                <w:rFonts w:ascii="方正姚体" w:eastAsia="方正姚体" w:hint="eastAsia"/>
                <w:color w:val="FF0000"/>
                <w:spacing w:val="-40"/>
                <w:w w:val="50"/>
                <w:sz w:val="120"/>
                <w:szCs w:val="120"/>
              </w:rPr>
              <w:t>苏州工业园区</w:t>
            </w:r>
            <w:r w:rsidR="00A90A66" w:rsidRPr="003D53BC">
              <w:rPr>
                <w:rFonts w:ascii="方正姚体" w:eastAsia="方正姚体" w:hint="eastAsia"/>
                <w:color w:val="FF0000"/>
                <w:spacing w:val="-40"/>
                <w:w w:val="50"/>
                <w:sz w:val="120"/>
                <w:szCs w:val="120"/>
              </w:rPr>
              <w:t>生态环境</w:t>
            </w:r>
            <w:r w:rsidRPr="003D53BC">
              <w:rPr>
                <w:rFonts w:ascii="方正姚体" w:eastAsia="方正姚体" w:hint="eastAsia"/>
                <w:color w:val="FF0000"/>
                <w:spacing w:val="-40"/>
                <w:w w:val="50"/>
                <w:sz w:val="120"/>
                <w:szCs w:val="120"/>
              </w:rPr>
              <w:t>局文件</w:t>
            </w:r>
          </w:p>
        </w:tc>
      </w:tr>
      <w:tr w:rsidR="006F21FA">
        <w:trPr>
          <w:gridBefore w:val="1"/>
          <w:gridAfter w:val="1"/>
          <w:wBefore w:w="80" w:type="dxa"/>
          <w:wAfter w:w="175" w:type="dxa"/>
          <w:trHeight w:val="613"/>
        </w:trPr>
        <w:tc>
          <w:tcPr>
            <w:tcW w:w="8538" w:type="dxa"/>
            <w:tcBorders>
              <w:bottom w:val="nil"/>
            </w:tcBorders>
          </w:tcPr>
          <w:p w:rsidR="006F21FA" w:rsidRDefault="006F21FA">
            <w:pPr>
              <w:spacing w:line="560" w:lineRule="atLeast"/>
              <w:rPr>
                <w:rFonts w:ascii="仿宋_GB2312" w:eastAsia="仿宋_GB2312"/>
                <w:color w:val="FF0000"/>
                <w:w w:val="80"/>
                <w:sz w:val="32"/>
                <w:szCs w:val="32"/>
              </w:rPr>
            </w:pPr>
          </w:p>
        </w:tc>
      </w:tr>
      <w:tr w:rsidR="006F21FA">
        <w:trPr>
          <w:gridBefore w:val="1"/>
          <w:gridAfter w:val="1"/>
          <w:wBefore w:w="80" w:type="dxa"/>
          <w:wAfter w:w="175" w:type="dxa"/>
          <w:trHeight w:val="613"/>
        </w:trPr>
        <w:tc>
          <w:tcPr>
            <w:tcW w:w="8538" w:type="dxa"/>
            <w:tcBorders>
              <w:bottom w:val="nil"/>
            </w:tcBorders>
          </w:tcPr>
          <w:p w:rsidR="006F21FA" w:rsidRDefault="006F21FA">
            <w:pPr>
              <w:spacing w:line="560" w:lineRule="atLeast"/>
              <w:rPr>
                <w:rFonts w:ascii="仿宋_GB2312" w:eastAsia="仿宋_GB2312"/>
                <w:color w:val="FF0000"/>
                <w:w w:val="80"/>
                <w:sz w:val="32"/>
                <w:szCs w:val="32"/>
              </w:rPr>
            </w:pPr>
          </w:p>
        </w:tc>
      </w:tr>
      <w:tr w:rsidR="006F21FA">
        <w:trPr>
          <w:gridBefore w:val="1"/>
          <w:gridAfter w:val="1"/>
          <w:wBefore w:w="80" w:type="dxa"/>
          <w:wAfter w:w="175" w:type="dxa"/>
          <w:trHeight w:val="848"/>
        </w:trPr>
        <w:tc>
          <w:tcPr>
            <w:tcW w:w="8538" w:type="dxa"/>
            <w:tcBorders>
              <w:top w:val="nil"/>
              <w:bottom w:val="single" w:sz="18" w:space="0" w:color="FF0000"/>
            </w:tcBorders>
          </w:tcPr>
          <w:p w:rsidR="006F21FA" w:rsidRPr="00402BAF" w:rsidRDefault="006F21FA" w:rsidP="003D53BC">
            <w:pPr>
              <w:spacing w:afterLines="50" w:after="120"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bookmarkStart w:id="0" w:name="文号"/>
            <w:proofErr w:type="gramStart"/>
            <w:r w:rsidRPr="00402BAF">
              <w:rPr>
                <w:rFonts w:ascii="Times New Roman" w:eastAsia="仿宋_GB2312" w:hAnsi="Times New Roman" w:cs="Times New Roman"/>
                <w:sz w:val="32"/>
                <w:szCs w:val="32"/>
              </w:rPr>
              <w:t>苏园环</w:t>
            </w:r>
            <w:proofErr w:type="gramEnd"/>
            <w:r w:rsidRPr="00402BAF">
              <w:rPr>
                <w:rFonts w:ascii="Times New Roman" w:eastAsia="仿宋_GB2312" w:hAnsi="Times New Roman" w:cs="Times New Roman"/>
                <w:sz w:val="32"/>
                <w:szCs w:val="32"/>
              </w:rPr>
              <w:t>〔</w:t>
            </w:r>
            <w:r w:rsidR="003D53BC" w:rsidRPr="00402BAF">
              <w:rPr>
                <w:rFonts w:ascii="Times New Roman" w:eastAsia="仿宋_GB2312" w:hAnsi="Times New Roman" w:cs="Times New Roman"/>
                <w:sz w:val="32"/>
                <w:szCs w:val="32"/>
              </w:rPr>
              <w:t>2021</w:t>
            </w:r>
            <w:r w:rsidRPr="00402BAF">
              <w:rPr>
                <w:rFonts w:ascii="Times New Roman" w:eastAsia="仿宋_GB2312" w:hAnsi="Times New Roman" w:cs="Times New Roman"/>
                <w:sz w:val="32"/>
                <w:szCs w:val="32"/>
              </w:rPr>
              <w:t>〕</w:t>
            </w:r>
            <w:r w:rsidR="00402BAF" w:rsidRPr="00402BAF"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  <w:r w:rsidRPr="00402BAF">
              <w:rPr>
                <w:rFonts w:ascii="Times New Roman" w:eastAsia="仿宋_GB2312" w:hAnsi="Times New Roman" w:cs="Times New Roman"/>
                <w:sz w:val="32"/>
                <w:szCs w:val="32"/>
              </w:rPr>
              <w:t>号</w:t>
            </w:r>
            <w:bookmarkEnd w:id="0"/>
          </w:p>
        </w:tc>
      </w:tr>
    </w:tbl>
    <w:p w:rsidR="006F21FA" w:rsidRDefault="006F21FA" w:rsidP="00402BA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F21FA" w:rsidRDefault="006F21FA" w:rsidP="00402BA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2BAF" w:rsidRDefault="00D94677" w:rsidP="00402BAF">
      <w:pPr>
        <w:spacing w:line="560" w:lineRule="exact"/>
        <w:jc w:val="center"/>
        <w:rPr>
          <w:rFonts w:ascii="Times New Roman" w:eastAsia="华文中宋" w:hAnsi="Times New Roman" w:cs="Times New Roman"/>
          <w:bCs/>
          <w:sz w:val="44"/>
          <w:szCs w:val="44"/>
        </w:rPr>
      </w:pPr>
      <w:bookmarkStart w:id="1" w:name="标题"/>
      <w:r w:rsidRPr="00402BAF">
        <w:rPr>
          <w:rFonts w:ascii="Times New Roman" w:eastAsia="华文中宋" w:hAnsi="Times New Roman" w:cs="Times New Roman"/>
          <w:bCs/>
          <w:sz w:val="44"/>
          <w:szCs w:val="44"/>
        </w:rPr>
        <w:t>生态环境</w:t>
      </w:r>
      <w:r w:rsidR="006F21FA" w:rsidRPr="00402BAF">
        <w:rPr>
          <w:rFonts w:ascii="Times New Roman" w:eastAsia="华文中宋" w:hAnsi="Times New Roman" w:cs="Times New Roman"/>
          <w:bCs/>
          <w:sz w:val="44"/>
          <w:szCs w:val="44"/>
        </w:rPr>
        <w:t>局关于</w:t>
      </w:r>
      <w:r w:rsidRPr="00402BAF">
        <w:rPr>
          <w:rFonts w:ascii="Times New Roman" w:eastAsia="华文中宋" w:hAnsi="Times New Roman" w:cs="Times New Roman"/>
          <w:bCs/>
          <w:sz w:val="44"/>
          <w:szCs w:val="44"/>
        </w:rPr>
        <w:t>2021</w:t>
      </w:r>
      <w:r w:rsidRPr="00402BAF">
        <w:rPr>
          <w:rFonts w:ascii="Times New Roman" w:eastAsia="华文中宋" w:hAnsi="Times New Roman" w:cs="Times New Roman"/>
          <w:bCs/>
          <w:sz w:val="44"/>
          <w:szCs w:val="44"/>
        </w:rPr>
        <w:t>年第一</w:t>
      </w:r>
      <w:r w:rsidR="006F21FA" w:rsidRPr="00402BAF">
        <w:rPr>
          <w:rFonts w:ascii="Times New Roman" w:eastAsia="华文中宋" w:hAnsi="Times New Roman" w:cs="Times New Roman"/>
          <w:bCs/>
          <w:sz w:val="44"/>
          <w:szCs w:val="44"/>
        </w:rPr>
        <w:t>次环境影响</w:t>
      </w:r>
    </w:p>
    <w:p w:rsidR="006F21FA" w:rsidRPr="00402BAF" w:rsidRDefault="006F21FA" w:rsidP="00402BAF">
      <w:pPr>
        <w:spacing w:line="560" w:lineRule="exact"/>
        <w:jc w:val="center"/>
        <w:rPr>
          <w:rFonts w:ascii="Times New Roman" w:eastAsia="华文中宋" w:hAnsi="Times New Roman" w:cs="Times New Roman"/>
          <w:bCs/>
          <w:sz w:val="44"/>
          <w:szCs w:val="44"/>
        </w:rPr>
      </w:pPr>
      <w:r w:rsidRPr="00402BAF">
        <w:rPr>
          <w:rFonts w:ascii="Times New Roman" w:eastAsia="华文中宋" w:hAnsi="Times New Roman" w:cs="Times New Roman"/>
          <w:bCs/>
          <w:sz w:val="44"/>
          <w:szCs w:val="44"/>
        </w:rPr>
        <w:t>评价文件编制质量考核情况的通报</w:t>
      </w:r>
      <w:bookmarkEnd w:id="1"/>
    </w:p>
    <w:p w:rsidR="006F21FA" w:rsidRPr="00AE3C09" w:rsidRDefault="006F21FA" w:rsidP="00402BAF">
      <w:pPr>
        <w:spacing w:line="560" w:lineRule="exact"/>
        <w:rPr>
          <w:rFonts w:ascii="Times New Roman" w:eastAsia="华文中宋" w:hAnsi="Times New Roman" w:cs="Times New Roman"/>
          <w:b/>
          <w:color w:val="000000" w:themeColor="text1"/>
          <w:kern w:val="0"/>
          <w:sz w:val="36"/>
          <w:szCs w:val="36"/>
        </w:rPr>
      </w:pPr>
      <w:bookmarkStart w:id="2" w:name="主送"/>
      <w:bookmarkStart w:id="3" w:name="正文"/>
      <w:bookmarkEnd w:id="2"/>
    </w:p>
    <w:p w:rsidR="006F21FA" w:rsidRPr="00402BAF" w:rsidRDefault="006F21FA" w:rsidP="00402BAF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各相关单位：</w:t>
      </w:r>
    </w:p>
    <w:p w:rsidR="006F21FA" w:rsidRPr="00402BAF" w:rsidRDefault="00662898" w:rsidP="00402BA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为认真落实《建设项目环境影响报告书（表）编制监督管理办法》（生态环境部令第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9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号）</w:t>
      </w:r>
      <w:r w:rsidR="00970F10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和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《关于进一步加强环境影响报告书（表）编制质量监管工作的通知》（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苏环办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[2020]212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号）</w:t>
      </w:r>
      <w:r w:rsidR="00970F10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等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要求，进一步加强</w:t>
      </w:r>
      <w:r w:rsidR="00970F10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对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评文件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编制单位及从业人员管理，提高环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评报告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编制质量，</w:t>
      </w:r>
      <w:r w:rsidR="006F21FA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根据《苏州工业园区环境影响评价技术单位考核管理办法（试行）》（</w:t>
      </w:r>
      <w:r w:rsidR="00A90A66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以下简称《考核办法》），我局组织对去</w:t>
      </w:r>
      <w:r w:rsidR="006F21FA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A90A66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7</w:t>
      </w:r>
      <w:r w:rsidR="006F21FA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月至</w:t>
      </w:r>
      <w:r w:rsidR="00A90A66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12</w:t>
      </w:r>
      <w:r w:rsidR="006F21FA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月在</w:t>
      </w:r>
      <w:r w:rsidR="00970F10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园</w:t>
      </w:r>
      <w:r w:rsidR="006F21FA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区开展业务的环</w:t>
      </w:r>
      <w:proofErr w:type="gramStart"/>
      <w:r w:rsidR="006F21FA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评技术</w:t>
      </w:r>
      <w:proofErr w:type="gramEnd"/>
      <w:r w:rsidR="006F21FA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单位进行环境影响评价文件编制质量考核，现将考核情况通报如下：</w:t>
      </w:r>
    </w:p>
    <w:p w:rsidR="006F21FA" w:rsidRPr="006C2235" w:rsidRDefault="006F21FA" w:rsidP="00402BAF">
      <w:pPr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6C2235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一、</w:t>
      </w:r>
      <w:r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基本情况</w:t>
      </w:r>
    </w:p>
    <w:p w:rsidR="006F21FA" w:rsidRPr="00402BAF" w:rsidRDefault="006F21FA" w:rsidP="00402BA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2020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A90A66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7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—</w:t>
      </w:r>
      <w:r w:rsidR="00A90A66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12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月，我局共审批环境影响报告表</w:t>
      </w:r>
      <w:r w:rsidR="00A90A66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 w:rsidR="00A2209E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79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个，其中承诺制审批项目</w:t>
      </w:r>
      <w:r w:rsidR="00A90A66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163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个，占比</w:t>
      </w:r>
      <w:r w:rsidR="00A2209E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58.4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%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非承诺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制审批项目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="00A90A66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16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个，占比</w:t>
      </w:r>
      <w:r w:rsidR="00A2209E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41.6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%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，共涉及</w:t>
      </w:r>
      <w:r w:rsidR="00A90A66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40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家环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评技术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单位。</w:t>
      </w:r>
    </w:p>
    <w:p w:rsidR="006F21FA" w:rsidRPr="00F7571A" w:rsidRDefault="006F21FA" w:rsidP="00402BAF">
      <w:pPr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F7571A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二、考核</w:t>
      </w:r>
      <w:r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范围</w:t>
      </w:r>
    </w:p>
    <w:p w:rsidR="006F21FA" w:rsidRPr="00402BAF" w:rsidRDefault="006F21FA" w:rsidP="00402BA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纳入本次质量考核的环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评文件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包括考核周期内全部承诺制审批的环评文件，以及部分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非承诺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制审批的环评文件（每家环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评技术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单位抽取不超过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份），共</w:t>
      </w:r>
      <w:r w:rsidR="00193310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208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份，覆盖全部</w:t>
      </w:r>
      <w:r w:rsidR="00193310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40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家环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评技术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单位。参与考核评分的环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评文件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均为首次报送我局的环评文件。</w:t>
      </w:r>
    </w:p>
    <w:p w:rsidR="006F21FA" w:rsidRPr="00F7571A" w:rsidRDefault="006F21FA" w:rsidP="00402BAF">
      <w:pPr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F7571A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三、考核结果</w:t>
      </w:r>
    </w:p>
    <w:p w:rsidR="006F21FA" w:rsidRPr="00402BAF" w:rsidRDefault="006F21FA" w:rsidP="00402BA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经考核专家组集中核查评分，并结合经办人日常核查评分，本次抽查的</w:t>
      </w:r>
      <w:r w:rsidR="00193310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208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份环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评文件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平均得分为</w:t>
      </w:r>
      <w:r w:rsidR="00193310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</w:t>
      </w:r>
      <w:r w:rsidR="0022207F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</w:t>
      </w:r>
      <w:r w:rsidR="00193310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</w:t>
      </w:r>
      <w:r w:rsidR="0022207F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68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分，最高分为苏州科文环境科技有限公司编写的《</w:t>
      </w:r>
      <w:r w:rsidR="00193310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苏州东风平和法雷奥离合器有限公司扩建项目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》，得分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7</w:t>
      </w:r>
      <w:r w:rsidR="00193310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4.8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分。</w:t>
      </w:r>
      <w:r w:rsidR="0022207F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40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家环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评技术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单位考核平均得分为</w:t>
      </w:r>
      <w:r w:rsidR="00DD7380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</w:t>
      </w:r>
      <w:r w:rsidR="00903628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5.06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分，</w:t>
      </w:r>
      <w:r w:rsidR="0022207F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苏州市环科环保技术发展有限公司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得分最高，得分</w:t>
      </w:r>
      <w:r w:rsidR="00903628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71.80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分。</w:t>
      </w:r>
    </w:p>
    <w:p w:rsidR="00F16426" w:rsidRPr="00402BAF" w:rsidRDefault="006F21FA" w:rsidP="00402BA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本次环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评技术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单位考核无</w:t>
      </w:r>
      <w:r w:rsidRPr="00402BA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“</w:t>
      </w:r>
      <w:r w:rsidRPr="00402BA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优秀</w:t>
      </w:r>
      <w:r w:rsidRPr="00402BA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”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等次单位；</w:t>
      </w:r>
      <w:r w:rsidRPr="00402BA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“</w:t>
      </w:r>
      <w:r w:rsidRPr="00402BA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良好</w:t>
      </w:r>
      <w:r w:rsidRPr="00402BA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”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等次共</w:t>
      </w:r>
      <w:r w:rsidR="00903628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家，分别是</w:t>
      </w:r>
      <w:r w:rsidR="0022207F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苏州市环科环保技术发展有限公司、</w:t>
      </w:r>
      <w:r w:rsidR="00903628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江苏环球嘉惠环境科学研究有限公司</w:t>
      </w:r>
      <w:r w:rsidR="0022207F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、广东环科技术咨询有限公司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；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 w:rsidRPr="00402BA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合格</w:t>
      </w:r>
      <w:r w:rsidRPr="00402BA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”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等次共</w:t>
      </w:r>
      <w:r w:rsidR="00903628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36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家，分别是</w:t>
      </w:r>
      <w:r w:rsidR="00903628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苏州正恒环境科技有限公司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</w:t>
      </w:r>
      <w:r w:rsidR="00903628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江苏圣泰环境科技股份有限公司</w:t>
      </w:r>
      <w:r w:rsidR="0022207F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</w:t>
      </w:r>
      <w:r w:rsidR="00903628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苏州世清环保科技有限公司</w:t>
      </w:r>
      <w:r w:rsidR="00662898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等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；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 w:rsidRPr="00402BA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不合格</w:t>
      </w:r>
      <w:r w:rsidRPr="00402BA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”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等次共</w:t>
      </w:r>
      <w:r w:rsidR="0022207F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="0022207F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家，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是</w:t>
      </w:r>
      <w:r w:rsidR="0022207F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南京东鸿连环环境技术有限公司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。对于考核结果为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 w:rsidRPr="00402BA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不合格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的单位，要求限期整改并报送整改报告。（详见附件）</w:t>
      </w:r>
    </w:p>
    <w:p w:rsidR="00F16426" w:rsidRPr="00402BAF" w:rsidRDefault="00F16426" w:rsidP="00402BA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本次参加考核的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40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家环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评技</w:t>
      </w:r>
      <w:r w:rsidR="00662898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术</w:t>
      </w:r>
      <w:proofErr w:type="gramEnd"/>
      <w:r w:rsidR="00662898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单位中，江苏新清源环保有限公司、南京易环环保科技有限公司均于去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7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700B27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—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12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月被生态环境部环境影响信用平台列入限制整改名单中。</w:t>
      </w:r>
    </w:p>
    <w:p w:rsidR="006F21FA" w:rsidRPr="005C2AE3" w:rsidRDefault="006F21FA" w:rsidP="00402BAF">
      <w:pPr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5C2AE3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四</w:t>
      </w:r>
      <w:r w:rsidRPr="005C2AE3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、</w:t>
      </w:r>
      <w:r w:rsidRPr="005C2AE3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存在的问题</w:t>
      </w:r>
      <w:r w:rsidRPr="005C2AE3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fldChar w:fldCharType="begin"/>
      </w:r>
      <w:r w:rsidRPr="005C2AE3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instrText xml:space="preserve"> </w:instrText>
      </w:r>
      <w:r w:rsidRPr="005C2AE3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instrText xml:space="preserve">LINK </w:instrText>
      </w:r>
      <w:r w:rsidRPr="005C2AE3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instrText>Excel.Sheet.12</w:instrText>
      </w:r>
      <w:r w:rsidRPr="005C2AE3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instrText xml:space="preserve"> D:\\环评处\\环评公司考核\\2020.3\\环评单位考核得分2020.4.14.xlsx</w:instrText>
      </w:r>
      <w:r w:rsidRPr="005C2AE3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instrText xml:space="preserve"> Sheet4!R2C1:R12C1 </w:instrText>
      </w:r>
      <w:r w:rsidRPr="005C2AE3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instrText>\a \f 4 \h</w:instrText>
      </w:r>
      <w:r w:rsidRPr="005C2AE3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instrText xml:space="preserve">  \* MERGEFORMAT </w:instrText>
      </w:r>
      <w:r w:rsidRPr="005C2AE3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fldChar w:fldCharType="separate"/>
      </w:r>
    </w:p>
    <w:p w:rsidR="00024A05" w:rsidRPr="00402BAF" w:rsidRDefault="006F21FA" w:rsidP="00402BA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C2AE3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fldChar w:fldCharType="end"/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从考核结果来看，环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评技术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单位总体上对环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评文件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编制质量比较重视，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但环评文件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质量仍参差不齐，整体质量有所下降，环评技术水平有待进一步提高，质量控制体系有待进一步完善。</w:t>
      </w:r>
      <w:r w:rsidR="00024A05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存在的主要问题有：政策、规划、重要文件相符性分析不够；评价等级判定不准，遗漏评价因子，标准遗漏或适用错误；现有项目建设描述不清，污染物达标排放情况论述不够，</w:t>
      </w:r>
      <w:r w:rsidR="00024A05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 w:rsidR="00024A05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以新带老</w:t>
      </w:r>
      <w:r w:rsidR="00024A05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 w:rsidR="00024A05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问题分析不到位；项目建设内容不明确，公</w:t>
      </w:r>
      <w:proofErr w:type="gramStart"/>
      <w:r w:rsidR="00024A05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辅工程</w:t>
      </w:r>
      <w:proofErr w:type="gramEnd"/>
      <w:r w:rsidR="00024A05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不完整，依托情况不清楚，产品方案、原辅材料、设备情况、生产工艺环节、工艺原理及主要参数介绍不清，物料平衡、水平衡遗漏或数据错误，污染源遗漏、源强核算内容不全或方法错误；环境敏感目标识别不准确，地表水环境保护目标表述不规范；技术导则要求落实不到位，现状监测不规范；污染防治措施不到位，缺少收集方式、处理流程、风量、设施运行处理参数等，措施的可行性分析论述不够；环境影响预测与评价结果错误；环境风险评价内容不全，风险物质识别不全面，风险防范措施无针对性；环境监测计划不完善，低级错误明显（如前后不一致等），格式及附件、附图不规范。</w:t>
      </w:r>
    </w:p>
    <w:p w:rsidR="006F21FA" w:rsidRPr="00402BAF" w:rsidRDefault="006F21FA" w:rsidP="00402BA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各环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评技术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单位应进一步加强自身建设，特别是本次考核不及格的单位，须强化环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评质量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内控管理，提高从业人员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业务能力和责任意识，不断提高环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评文件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编制质量和效率。</w:t>
      </w:r>
    </w:p>
    <w:p w:rsidR="00D546DE" w:rsidRPr="00402BAF" w:rsidRDefault="00D546DE" w:rsidP="00402BA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Pr="00402BAF" w:rsidRDefault="006F21FA" w:rsidP="00402BA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附件：苏州工业园区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 w:rsidR="00F16426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021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F16426"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第一</w:t>
      </w:r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次环</w:t>
      </w:r>
      <w:proofErr w:type="gramStart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评技术</w:t>
      </w:r>
      <w:proofErr w:type="gramEnd"/>
      <w:r w:rsidRP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单位考核情况汇总表</w:t>
      </w:r>
    </w:p>
    <w:p w:rsidR="006F21FA" w:rsidRPr="000D75D0" w:rsidRDefault="006F21FA" w:rsidP="00402BA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D546DE" w:rsidP="00402BAF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</w:t>
      </w:r>
      <w:r w:rsidR="006F21FA" w:rsidRPr="00F63F3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苏州工业园区</w:t>
      </w:r>
      <w:r w:rsidR="002A3AC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生态环境局</w:t>
      </w:r>
    </w:p>
    <w:p w:rsidR="006F21FA" w:rsidRDefault="00D546DE" w:rsidP="00402BAF">
      <w:pPr>
        <w:spacing w:line="560" w:lineRule="exact"/>
        <w:ind w:rightChars="178" w:right="374"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                  </w:t>
      </w:r>
      <w:r w:rsidR="006F21FA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="002A3AC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021</w:t>
      </w:r>
      <w:r w:rsidR="006F21F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2A3AC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</w:t>
      </w:r>
      <w:r w:rsidR="006F21F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402BA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30</w:t>
      </w:r>
      <w:r w:rsidR="006F21F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</w:p>
    <w:p w:rsidR="006F21FA" w:rsidRPr="00373DE2" w:rsidRDefault="006F21FA" w:rsidP="00402BAF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402BAF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402BAF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402BAF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402BAF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402BAF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402BAF">
      <w:pPr>
        <w:spacing w:line="560" w:lineRule="exact"/>
        <w:ind w:right="-10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sectPr w:rsidR="006F21FA" w:rsidSect="00EF293E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</w:t>
      </w:r>
    </w:p>
    <w:p w:rsidR="006F21FA" w:rsidRDefault="006F21FA" w:rsidP="006F21FA">
      <w:pP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附件</w:t>
      </w:r>
    </w:p>
    <w:p w:rsidR="006F21FA" w:rsidRPr="002858A0" w:rsidRDefault="006F21FA" w:rsidP="006F21FA">
      <w:pPr>
        <w:jc w:val="center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2858A0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苏州工业园区2</w:t>
      </w:r>
      <w:r w:rsidR="00F16426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021</w:t>
      </w:r>
      <w:r w:rsidRPr="002858A0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年</w:t>
      </w:r>
      <w:r w:rsidR="00F16426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第一</w:t>
      </w:r>
      <w:r w:rsidRPr="002858A0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次环</w:t>
      </w:r>
      <w:proofErr w:type="gramStart"/>
      <w:r w:rsidRPr="002858A0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评技术</w:t>
      </w:r>
      <w:proofErr w:type="gramEnd"/>
      <w:r w:rsidRPr="002858A0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单位考核</w:t>
      </w:r>
      <w:r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情况汇总表</w:t>
      </w:r>
    </w:p>
    <w:p w:rsidR="006F21FA" w:rsidRPr="00AE3C09" w:rsidRDefault="006F21FA" w:rsidP="006F21FA">
      <w:pPr>
        <w:widowControl/>
        <w:adjustRightInd w:val="0"/>
        <w:snapToGrid w:val="0"/>
        <w:spacing w:line="36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tbl>
      <w:tblPr>
        <w:tblStyle w:val="a3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1134"/>
        <w:gridCol w:w="992"/>
        <w:gridCol w:w="1701"/>
        <w:gridCol w:w="1276"/>
        <w:gridCol w:w="992"/>
        <w:gridCol w:w="993"/>
        <w:gridCol w:w="992"/>
      </w:tblGrid>
      <w:tr w:rsidR="006F21FA" w:rsidRPr="002858A0" w:rsidTr="00256DC8">
        <w:trPr>
          <w:trHeight w:val="585"/>
          <w:jc w:val="center"/>
        </w:trPr>
        <w:tc>
          <w:tcPr>
            <w:tcW w:w="562" w:type="dxa"/>
            <w:vAlign w:val="center"/>
            <w:hideMark/>
          </w:tcPr>
          <w:p w:rsidR="006F21FA" w:rsidRPr="004B5204" w:rsidRDefault="006F21FA" w:rsidP="00256D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253" w:type="dxa"/>
            <w:vAlign w:val="center"/>
            <w:hideMark/>
          </w:tcPr>
          <w:p w:rsidR="006F21FA" w:rsidRPr="004B5204" w:rsidRDefault="006F21FA" w:rsidP="00256D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环</w:t>
            </w:r>
            <w:proofErr w:type="gramStart"/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评技术</w:t>
            </w:r>
            <w:proofErr w:type="gramEnd"/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992" w:type="dxa"/>
            <w:vAlign w:val="center"/>
            <w:hideMark/>
          </w:tcPr>
          <w:p w:rsidR="006F21FA" w:rsidRPr="004B5204" w:rsidRDefault="006F21FA" w:rsidP="00256D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受理环评总数</w:t>
            </w:r>
          </w:p>
        </w:tc>
        <w:tc>
          <w:tcPr>
            <w:tcW w:w="1134" w:type="dxa"/>
            <w:vAlign w:val="center"/>
            <w:hideMark/>
          </w:tcPr>
          <w:p w:rsidR="006F21FA" w:rsidRPr="004B5204" w:rsidRDefault="006F21FA" w:rsidP="00256D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非承诺</w:t>
            </w:r>
            <w:proofErr w:type="gramEnd"/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制总数</w:t>
            </w:r>
          </w:p>
        </w:tc>
        <w:tc>
          <w:tcPr>
            <w:tcW w:w="992" w:type="dxa"/>
            <w:vAlign w:val="center"/>
            <w:hideMark/>
          </w:tcPr>
          <w:p w:rsidR="006F21FA" w:rsidRPr="004B5204" w:rsidRDefault="006F21FA" w:rsidP="00256D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承诺制总数</w:t>
            </w:r>
          </w:p>
        </w:tc>
        <w:tc>
          <w:tcPr>
            <w:tcW w:w="1701" w:type="dxa"/>
            <w:vAlign w:val="center"/>
            <w:hideMark/>
          </w:tcPr>
          <w:p w:rsidR="006F21FA" w:rsidRPr="004B5204" w:rsidRDefault="006F21FA" w:rsidP="00256D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考评数量（</w:t>
            </w:r>
            <w:proofErr w:type="gramStart"/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非承诺</w:t>
            </w:r>
            <w:proofErr w:type="gramEnd"/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承诺制）</w:t>
            </w:r>
          </w:p>
        </w:tc>
        <w:tc>
          <w:tcPr>
            <w:tcW w:w="1276" w:type="dxa"/>
            <w:vAlign w:val="center"/>
            <w:hideMark/>
          </w:tcPr>
          <w:p w:rsidR="006F21FA" w:rsidRPr="004B5204" w:rsidRDefault="006F21FA" w:rsidP="00256D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技术核查得分</w:t>
            </w:r>
          </w:p>
        </w:tc>
        <w:tc>
          <w:tcPr>
            <w:tcW w:w="992" w:type="dxa"/>
            <w:vAlign w:val="center"/>
            <w:hideMark/>
          </w:tcPr>
          <w:p w:rsidR="006F21FA" w:rsidRPr="004B5204" w:rsidRDefault="006F21FA" w:rsidP="00256D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加减分</w:t>
            </w: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93" w:type="dxa"/>
            <w:vAlign w:val="center"/>
            <w:hideMark/>
          </w:tcPr>
          <w:p w:rsidR="006F21FA" w:rsidRPr="004B5204" w:rsidRDefault="006F21FA" w:rsidP="00256D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最终得分</w:t>
            </w:r>
          </w:p>
        </w:tc>
        <w:tc>
          <w:tcPr>
            <w:tcW w:w="992" w:type="dxa"/>
            <w:vAlign w:val="center"/>
          </w:tcPr>
          <w:p w:rsidR="006F21FA" w:rsidRPr="004B5204" w:rsidRDefault="006F21FA" w:rsidP="00256D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等次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  <w:hideMark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苏州市环科环保技术发展有限公司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36(2/34)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66.80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71.80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良好</w:t>
            </w:r>
          </w:p>
        </w:tc>
      </w:tr>
      <w:tr w:rsidR="00122348" w:rsidRPr="0059773C" w:rsidTr="00E11634">
        <w:trPr>
          <w:trHeight w:val="508"/>
          <w:jc w:val="center"/>
        </w:trPr>
        <w:tc>
          <w:tcPr>
            <w:tcW w:w="562" w:type="dxa"/>
            <w:vAlign w:val="center"/>
            <w:hideMark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江苏环球嘉惠环境科学研究有限公司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1/0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70.4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70.40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良好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  <w:hideMark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广东环科技术咨询有限公司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1/0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70.2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70.20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良好</w:t>
            </w:r>
          </w:p>
        </w:tc>
      </w:tr>
      <w:tr w:rsidR="00122348" w:rsidRPr="0059773C" w:rsidTr="00E11634">
        <w:trPr>
          <w:trHeight w:val="525"/>
          <w:jc w:val="center"/>
        </w:trPr>
        <w:tc>
          <w:tcPr>
            <w:tcW w:w="562" w:type="dxa"/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苏州正恒环境科技有限公司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2/4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69.22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69.82 </w:t>
            </w:r>
          </w:p>
        </w:tc>
        <w:tc>
          <w:tcPr>
            <w:tcW w:w="992" w:type="dxa"/>
            <w:vAlign w:val="center"/>
          </w:tcPr>
          <w:p w:rsidR="00122348" w:rsidRPr="0059773C" w:rsidRDefault="00EE2125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525"/>
          <w:jc w:val="center"/>
        </w:trPr>
        <w:tc>
          <w:tcPr>
            <w:tcW w:w="562" w:type="dxa"/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江苏圣泰环境科技股份有限公司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1(0/1)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69.15 </w:t>
            </w:r>
          </w:p>
        </w:tc>
        <w:tc>
          <w:tcPr>
            <w:tcW w:w="992" w:type="dxa"/>
            <w:vAlign w:val="center"/>
          </w:tcPr>
          <w:p w:rsidR="00122348" w:rsidRPr="0059773C" w:rsidRDefault="00EE2125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苏州世清环保科技有限公司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27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2/25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65.22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68.97 </w:t>
            </w:r>
          </w:p>
        </w:tc>
        <w:tc>
          <w:tcPr>
            <w:tcW w:w="992" w:type="dxa"/>
            <w:vAlign w:val="center"/>
          </w:tcPr>
          <w:p w:rsidR="00122348" w:rsidRPr="0059773C" w:rsidRDefault="00EE2125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543"/>
          <w:jc w:val="center"/>
        </w:trPr>
        <w:tc>
          <w:tcPr>
            <w:tcW w:w="562" w:type="dxa"/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中</w:t>
            </w:r>
            <w:proofErr w:type="gramStart"/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设设计</w:t>
            </w:r>
            <w:proofErr w:type="gramEnd"/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2/3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68.81 </w:t>
            </w:r>
          </w:p>
        </w:tc>
        <w:tc>
          <w:tcPr>
            <w:tcW w:w="992" w:type="dxa"/>
            <w:vAlign w:val="center"/>
          </w:tcPr>
          <w:p w:rsidR="00122348" w:rsidRPr="0059773C" w:rsidRDefault="00EE2125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苏州市宏宇环境科技股份有限公司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21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2/19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65.83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68.68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苏州科文环境科技有限公司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22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2/20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65.64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68.64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487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苏州迈康环境科技有限公司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1/2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68.13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68.43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南京亘屹环保科技有限公司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6(0/6)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66.27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67.17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533"/>
          <w:jc w:val="center"/>
        </w:trPr>
        <w:tc>
          <w:tcPr>
            <w:tcW w:w="562" w:type="dxa"/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苏州市东宏环保科技有限公司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1/3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66.60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67.05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549"/>
          <w:jc w:val="center"/>
        </w:trPr>
        <w:tc>
          <w:tcPr>
            <w:tcW w:w="562" w:type="dxa"/>
            <w:vAlign w:val="center"/>
            <w:hideMark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江苏国升明</w:t>
            </w:r>
            <w:proofErr w:type="gramEnd"/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华生态技术有限公司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0/1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66.73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66.88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557"/>
          <w:jc w:val="center"/>
        </w:trPr>
        <w:tc>
          <w:tcPr>
            <w:tcW w:w="562" w:type="dxa"/>
            <w:vAlign w:val="center"/>
            <w:hideMark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南京源恒环境研究所有限公司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1/1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66.4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66.55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423"/>
          <w:jc w:val="center"/>
        </w:trPr>
        <w:tc>
          <w:tcPr>
            <w:tcW w:w="562" w:type="dxa"/>
            <w:vAlign w:val="center"/>
            <w:hideMark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苏州清泉环保科技有限公司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1/4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65.94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66.54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558"/>
          <w:jc w:val="center"/>
        </w:trPr>
        <w:tc>
          <w:tcPr>
            <w:tcW w:w="562" w:type="dxa"/>
            <w:vAlign w:val="center"/>
            <w:hideMark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苏州华之</w:t>
            </w:r>
            <w:proofErr w:type="gramStart"/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洁环境</w:t>
            </w:r>
            <w:proofErr w:type="gramEnd"/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安全科技有限公司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2/0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66.4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66.40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565"/>
          <w:jc w:val="center"/>
        </w:trPr>
        <w:tc>
          <w:tcPr>
            <w:tcW w:w="562" w:type="dxa"/>
            <w:vAlign w:val="center"/>
            <w:hideMark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苏州杜班环境安全技术有限公司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1(0/1)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66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66.15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  <w:hideMark/>
          </w:tcPr>
          <w:p w:rsidR="00122348" w:rsidRPr="002858A0" w:rsidRDefault="00B2560A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苏州弗兰许环境工程有限公司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1(0/1)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66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66.15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广东思创环境工程有限公司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4(0/4)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65.5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66.10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苏州新视野环境工程有限公司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1/2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65.77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66.07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江苏中升太环境技术有限公司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2/7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64.82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65.87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湖南大自然环保科技有限公司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1/0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65.7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65.70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苏州晓创环境科技有限公司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2/1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65.4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65.55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江苏恒泰丰环保科技有限公司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2/2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65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65.30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福州闽涵环保工程有限公司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1/0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64.6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64.60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AB5949" w:rsidTr="00E11634">
        <w:trPr>
          <w:trHeight w:val="720"/>
          <w:jc w:val="center"/>
        </w:trPr>
        <w:tc>
          <w:tcPr>
            <w:tcW w:w="562" w:type="dxa"/>
            <w:vAlign w:val="center"/>
          </w:tcPr>
          <w:p w:rsidR="00122348" w:rsidRPr="00AB5949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AB5949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AB594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苏州道博环保技术服务有限公司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2(2/0)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64.05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8" w:rsidRPr="00AB5949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AB594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</w:tcPr>
          <w:p w:rsidR="00122348" w:rsidRPr="00AB5949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AB5949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AB594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苏州浩泽环保技术有限公司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2(1/1)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63.2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63.35 </w:t>
            </w:r>
          </w:p>
        </w:tc>
        <w:tc>
          <w:tcPr>
            <w:tcW w:w="992" w:type="dxa"/>
            <w:vAlign w:val="center"/>
          </w:tcPr>
          <w:p w:rsidR="00122348" w:rsidRPr="00AB5949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AB594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</w:t>
            </w:r>
            <w:proofErr w:type="gramStart"/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秉</w:t>
            </w:r>
            <w:proofErr w:type="gramEnd"/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德企业管理有限公司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1/0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63.3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63.30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南京国环科技股份有限公司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1(0/1)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62.1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62.25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122348" w:rsidRPr="002858A0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江苏久力环境科技股份有限公司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1(0/1)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61.5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61.65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</w:tcPr>
          <w:p w:rsidR="00122348" w:rsidRPr="00AB5949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AB594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江苏虹善工程科技有限公司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1/0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61.2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61.20 </w:t>
            </w:r>
          </w:p>
        </w:tc>
        <w:tc>
          <w:tcPr>
            <w:tcW w:w="992" w:type="dxa"/>
            <w:vAlign w:val="center"/>
          </w:tcPr>
          <w:p w:rsidR="00122348" w:rsidRPr="00AB5949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AB594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</w:tcPr>
          <w:p w:rsidR="00122348" w:rsidRPr="002858A0" w:rsidRDefault="00B2560A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  <w:bookmarkStart w:id="4" w:name="_GoBack"/>
            <w:bookmarkEnd w:id="4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苏州德欣环保科技咨询服务有限公司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1(1/0)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61.2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61.20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</w:tcPr>
          <w:p w:rsidR="00122348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江苏玖清玖蓝环保科技有限公司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2/3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65.46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0.45</w:t>
            </w:r>
          </w:p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60.91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</w:tcPr>
          <w:p w:rsidR="00122348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江苏新清源环保有限公司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2/1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60.67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60.82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</w:tcPr>
          <w:p w:rsidR="00122348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鸿灌环境</w:t>
            </w:r>
            <w:proofErr w:type="gramEnd"/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技术有限公司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1(0/1)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60.6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60.75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vAlign w:val="center"/>
          </w:tcPr>
          <w:p w:rsidR="00122348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江苏世科环境发展有限公司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2/4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65.08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0.6</w:t>
            </w:r>
          </w:p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60.68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22348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苏州常卫环保科技有限公司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2/0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65.28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60.28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348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南京易环环保科技有限公司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4(0/4)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59.53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60.13 </w:t>
            </w:r>
          </w:p>
        </w:tc>
        <w:tc>
          <w:tcPr>
            <w:tcW w:w="992" w:type="dxa"/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348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苏州淀杉湖城市环境工程有限公司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1(1/0)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60.00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122348" w:rsidRPr="0059773C" w:rsidTr="00E11634">
        <w:trPr>
          <w:trHeight w:val="7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8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南京东鸿连环环境技术有限公司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1/6</w:t>
            </w:r>
            <w:r w:rsidRPr="00997AB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53.79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997AB4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997AB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0.9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48" w:rsidRPr="00122348" w:rsidRDefault="00122348" w:rsidP="00122348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12234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54.69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48" w:rsidRPr="0059773C" w:rsidRDefault="00122348" w:rsidP="0012234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不</w:t>
            </w: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</w:tbl>
    <w:p w:rsidR="006F21FA" w:rsidRPr="002858A0" w:rsidRDefault="006F21FA" w:rsidP="006F21FA">
      <w:pPr>
        <w:widowControl/>
        <w:adjustRightInd w:val="0"/>
        <w:snapToGrid w:val="0"/>
        <w:spacing w:line="360" w:lineRule="exact"/>
        <w:rPr>
          <w:rFonts w:ascii="楷体_GB2312" w:eastAsia="楷体_GB2312" w:hAnsi="Times New Roman" w:cs="Times New Roman"/>
          <w:color w:val="000000" w:themeColor="text1"/>
          <w:kern w:val="0"/>
          <w:sz w:val="28"/>
          <w:szCs w:val="28"/>
        </w:rPr>
      </w:pPr>
      <w:r w:rsidRPr="002858A0">
        <w:rPr>
          <w:rFonts w:ascii="楷体_GB2312" w:eastAsia="楷体_GB2312" w:hAnsi="Times New Roman" w:cs="Times New Roman" w:hint="eastAsia"/>
          <w:color w:val="000000" w:themeColor="text1"/>
          <w:kern w:val="0"/>
          <w:sz w:val="28"/>
          <w:szCs w:val="28"/>
        </w:rPr>
        <w:t>注*：</w:t>
      </w:r>
      <w:r w:rsidR="001648B2" w:rsidRPr="001648B2">
        <w:rPr>
          <w:rFonts w:ascii="楷体_GB2312" w:eastAsia="楷体_GB2312" w:hAnsi="Times New Roman" w:cs="Times New Roman" w:hint="eastAsia"/>
          <w:color w:val="000000" w:themeColor="text1"/>
          <w:kern w:val="0"/>
          <w:sz w:val="28"/>
          <w:szCs w:val="28"/>
        </w:rPr>
        <w:t>积极参加承诺制改革试点的单位加1-5分,</w:t>
      </w:r>
      <w:r w:rsidR="001648B2" w:rsidRPr="001648B2">
        <w:rPr>
          <w:rFonts w:hint="eastAsia"/>
        </w:rPr>
        <w:t xml:space="preserve"> </w:t>
      </w:r>
      <w:r w:rsidR="001648B2" w:rsidRPr="001648B2">
        <w:rPr>
          <w:rFonts w:ascii="楷体_GB2312" w:eastAsia="楷体_GB2312" w:hAnsi="Times New Roman" w:cs="Times New Roman" w:hint="eastAsia"/>
          <w:color w:val="000000" w:themeColor="text1"/>
          <w:kern w:val="0"/>
          <w:sz w:val="28"/>
          <w:szCs w:val="28"/>
        </w:rPr>
        <w:t>告知承诺</w:t>
      </w:r>
      <w:proofErr w:type="gramStart"/>
      <w:r w:rsidR="001648B2" w:rsidRPr="001648B2">
        <w:rPr>
          <w:rFonts w:ascii="楷体_GB2312" w:eastAsia="楷体_GB2312" w:hAnsi="Times New Roman" w:cs="Times New Roman" w:hint="eastAsia"/>
          <w:color w:val="000000" w:themeColor="text1"/>
          <w:kern w:val="0"/>
          <w:sz w:val="28"/>
          <w:szCs w:val="28"/>
        </w:rPr>
        <w:t>制项目</w:t>
      </w:r>
      <w:proofErr w:type="gramEnd"/>
      <w:r w:rsidR="001648B2" w:rsidRPr="001648B2">
        <w:rPr>
          <w:rFonts w:ascii="楷体_GB2312" w:eastAsia="楷体_GB2312" w:hAnsi="Times New Roman" w:cs="Times New Roman" w:hint="eastAsia"/>
          <w:color w:val="000000" w:themeColor="text1"/>
          <w:kern w:val="0"/>
          <w:sz w:val="28"/>
          <w:szCs w:val="28"/>
        </w:rPr>
        <w:t>撤销、退回和修改配合较差的扣1-5分。</w:t>
      </w:r>
    </w:p>
    <w:p w:rsidR="006F21FA" w:rsidRDefault="006F21FA" w:rsidP="006F21FA">
      <w:pPr>
        <w:rPr>
          <w:rFonts w:eastAsia="仿宋_GB2312"/>
          <w:sz w:val="32"/>
        </w:rPr>
      </w:pPr>
    </w:p>
    <w:p w:rsidR="006F21FA" w:rsidRDefault="006F21FA" w:rsidP="006F21FA">
      <w:pPr>
        <w:spacing w:line="560" w:lineRule="exact"/>
        <w:rPr>
          <w:rFonts w:eastAsia="仿宋_GB2312"/>
          <w:sz w:val="32"/>
        </w:rPr>
      </w:pPr>
    </w:p>
    <w:p w:rsidR="006F21FA" w:rsidRPr="0059773C" w:rsidRDefault="006F21FA" w:rsidP="006F21FA">
      <w:pPr>
        <w:spacing w:line="560" w:lineRule="exact"/>
        <w:rPr>
          <w:rFonts w:eastAsia="仿宋_GB2312"/>
          <w:sz w:val="32"/>
        </w:rPr>
      </w:pPr>
    </w:p>
    <w:bookmarkEnd w:id="3"/>
    <w:p w:rsidR="006F21FA" w:rsidRDefault="006F21FA">
      <w:pPr>
        <w:spacing w:line="560" w:lineRule="exact"/>
        <w:ind w:firstLine="63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</w:t>
      </w:r>
    </w:p>
    <w:p w:rsidR="006F21FA" w:rsidRDefault="006F21FA" w:rsidP="006F21FA">
      <w:pPr>
        <w:spacing w:line="400" w:lineRule="exact"/>
        <w:ind w:right="-100" w:firstLineChars="3500" w:firstLine="7350"/>
      </w:pPr>
    </w:p>
    <w:p w:rsidR="006F21FA" w:rsidRDefault="006F21FA" w:rsidP="006F21FA">
      <w:pPr>
        <w:sectPr w:rsidR="006F21FA" w:rsidSect="00A03182">
          <w:footerReference w:type="even" r:id="rId8"/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  <w:r w:rsidRPr="006F21FA">
        <w:rPr>
          <w:rFonts w:ascii="仿宋_GB2312" w:eastAsia="仿宋_GB2312" w:hint="eastAsia"/>
          <w:sz w:val="32"/>
          <w:szCs w:val="32"/>
        </w:rPr>
        <w:lastRenderedPageBreak/>
        <w:t>（以下无正文）</w:t>
      </w: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tbl>
      <w:tblPr>
        <w:tblW w:w="9000" w:type="dxa"/>
        <w:tblBorders>
          <w:top w:val="single" w:sz="4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6F21FA" w:rsidTr="00256DC8">
        <w:trPr>
          <w:trHeight w:val="373"/>
        </w:trPr>
        <w:tc>
          <w:tcPr>
            <w:tcW w:w="9000" w:type="dxa"/>
          </w:tcPr>
          <w:p w:rsidR="006F21FA" w:rsidRDefault="006F21FA" w:rsidP="00256DC8">
            <w:pPr>
              <w:spacing w:line="400" w:lineRule="exact"/>
              <w:ind w:rightChars="521" w:right="1094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抄报：苏州市生态环境局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</w:p>
        </w:tc>
      </w:tr>
      <w:tr w:rsidR="006F21FA" w:rsidTr="00256DC8">
        <w:trPr>
          <w:trHeight w:val="410"/>
        </w:trPr>
        <w:tc>
          <w:tcPr>
            <w:tcW w:w="9000" w:type="dxa"/>
          </w:tcPr>
          <w:p w:rsidR="006F21FA" w:rsidRDefault="00530C9E" w:rsidP="00402BAF">
            <w:pPr>
              <w:spacing w:line="400" w:lineRule="exact"/>
              <w:ind w:right="277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苏州工业园区生态环境</w:t>
            </w:r>
            <w:r w:rsidR="006F21FA">
              <w:rPr>
                <w:rFonts w:eastAsia="仿宋_GB2312" w:hint="eastAsia"/>
                <w:sz w:val="32"/>
                <w:szCs w:val="32"/>
              </w:rPr>
              <w:t>局</w:t>
            </w:r>
            <w:r w:rsidR="006F21FA">
              <w:rPr>
                <w:rFonts w:eastAsia="仿宋_GB2312" w:hint="eastAsia"/>
                <w:sz w:val="32"/>
                <w:szCs w:val="32"/>
              </w:rPr>
              <w:t xml:space="preserve">       </w:t>
            </w:r>
            <w:r w:rsidR="00402BAF">
              <w:rPr>
                <w:rFonts w:eastAsia="仿宋_GB2312"/>
                <w:sz w:val="32"/>
                <w:szCs w:val="32"/>
              </w:rPr>
              <w:t xml:space="preserve">     </w:t>
            </w:r>
            <w:r w:rsidRPr="00402BAF">
              <w:rPr>
                <w:rFonts w:ascii="Times New Roman" w:eastAsia="仿宋_GB2312" w:hAnsi="Times New Roman" w:cs="Times New Roman"/>
                <w:sz w:val="32"/>
                <w:szCs w:val="32"/>
              </w:rPr>
              <w:t>2021</w:t>
            </w:r>
            <w:r w:rsidR="006F21FA" w:rsidRPr="00402BAF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402BAF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 w:rsidR="006F21FA" w:rsidRPr="00402BAF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="00402BAF" w:rsidRPr="00402BAF">
              <w:rPr>
                <w:rFonts w:ascii="Times New Roman" w:eastAsia="仿宋_GB2312" w:hAnsi="Times New Roman" w:cs="Times New Roman"/>
                <w:sz w:val="32"/>
                <w:szCs w:val="32"/>
              </w:rPr>
              <w:t>30</w:t>
            </w:r>
            <w:r w:rsidR="006F21FA" w:rsidRPr="00402BAF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 w:rsidR="006F21FA">
              <w:rPr>
                <w:rFonts w:eastAsia="仿宋_GB2312"/>
                <w:sz w:val="32"/>
                <w:szCs w:val="32"/>
              </w:rPr>
              <w:t>印发</w:t>
            </w:r>
          </w:p>
        </w:tc>
      </w:tr>
    </w:tbl>
    <w:p w:rsidR="006F21FA" w:rsidRPr="00402BAF" w:rsidRDefault="006F21FA" w:rsidP="006F21FA">
      <w:pPr>
        <w:ind w:firstLineChars="2000" w:firstLine="6400"/>
        <w:rPr>
          <w:rFonts w:ascii="Times New Roman" w:eastAsia="仿宋_GB2312" w:hAnsi="Times New Roman" w:cs="Times New Roman"/>
          <w:sz w:val="32"/>
          <w:szCs w:val="32"/>
        </w:rPr>
      </w:pPr>
      <w:r w:rsidRPr="00402BAF">
        <w:rPr>
          <w:rFonts w:ascii="Times New Roman" w:eastAsia="仿宋_GB2312" w:hAnsi="Times New Roman" w:cs="Times New Roman"/>
          <w:sz w:val="32"/>
          <w:szCs w:val="32"/>
        </w:rPr>
        <w:t>共印：</w:t>
      </w:r>
      <w:r w:rsidRPr="00402BAF">
        <w:rPr>
          <w:rFonts w:ascii="Times New Roman" w:eastAsia="仿宋_GB2312" w:hAnsi="Times New Roman" w:cs="Times New Roman"/>
          <w:sz w:val="32"/>
          <w:szCs w:val="32"/>
        </w:rPr>
        <w:t>8</w:t>
      </w:r>
      <w:r w:rsidRPr="00402BAF">
        <w:rPr>
          <w:rFonts w:ascii="Times New Roman" w:eastAsia="仿宋_GB2312" w:hAnsi="Times New Roman" w:cs="Times New Roman"/>
          <w:sz w:val="32"/>
          <w:szCs w:val="32"/>
        </w:rPr>
        <w:t>份</w:t>
      </w:r>
    </w:p>
    <w:sectPr w:rsidR="006F21FA" w:rsidRPr="00402BAF" w:rsidSect="00402BAF">
      <w:pgSz w:w="11906" w:h="16838"/>
      <w:pgMar w:top="2041" w:right="1559" w:bottom="1928" w:left="1559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5F" w:rsidRDefault="0046245F" w:rsidP="004108A7">
      <w:r>
        <w:separator/>
      </w:r>
    </w:p>
  </w:endnote>
  <w:endnote w:type="continuationSeparator" w:id="0">
    <w:p w:rsidR="0046245F" w:rsidRDefault="0046245F" w:rsidP="0041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C8" w:rsidRDefault="00256DC8">
    <w:pPr>
      <w:pStyle w:val="a7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256DC8" w:rsidRDefault="00256DC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C8" w:rsidRDefault="00256DC8">
    <w:pPr>
      <w:pStyle w:val="a7"/>
      <w:framePr w:wrap="around" w:vAnchor="text" w:hAnchor="margin" w:xAlign="outside" w:y="1"/>
      <w:jc w:val="both"/>
      <w:rPr>
        <w:rStyle w:val="a8"/>
      </w:rPr>
    </w:pPr>
    <w:r>
      <w:rPr>
        <w:rStyle w:val="a8"/>
        <w:rFonts w:hint="eastAsia"/>
        <w:sz w:val="28"/>
      </w:rPr>
      <w:t>－</w:t>
    </w:r>
    <w:r>
      <w:rPr>
        <w:sz w:val="28"/>
      </w:rPr>
      <w:fldChar w:fldCharType="begin"/>
    </w:r>
    <w:r>
      <w:rPr>
        <w:rStyle w:val="a8"/>
        <w:sz w:val="28"/>
      </w:rPr>
      <w:instrText xml:space="preserve"> PAGE </w:instrText>
    </w:r>
    <w:r>
      <w:rPr>
        <w:sz w:val="28"/>
      </w:rPr>
      <w:fldChar w:fldCharType="separate"/>
    </w:r>
    <w:r w:rsidR="00B2560A">
      <w:rPr>
        <w:rStyle w:val="a8"/>
        <w:noProof/>
        <w:sz w:val="28"/>
      </w:rPr>
      <w:t>10</w:t>
    </w:r>
    <w:r>
      <w:rPr>
        <w:sz w:val="28"/>
      </w:rPr>
      <w:fldChar w:fldCharType="end"/>
    </w:r>
    <w:r>
      <w:rPr>
        <w:rStyle w:val="a8"/>
        <w:rFonts w:hint="eastAsia"/>
        <w:sz w:val="28"/>
      </w:rPr>
      <w:t>－</w:t>
    </w:r>
  </w:p>
  <w:p w:rsidR="00256DC8" w:rsidRDefault="00256DC8">
    <w:pPr>
      <w:pStyle w:val="a7"/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5F" w:rsidRDefault="0046245F" w:rsidP="004108A7">
      <w:r>
        <w:separator/>
      </w:r>
    </w:p>
  </w:footnote>
  <w:footnote w:type="continuationSeparator" w:id="0">
    <w:p w:rsidR="0046245F" w:rsidRDefault="0046245F" w:rsidP="0041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49C"/>
    <w:multiLevelType w:val="hybridMultilevel"/>
    <w:tmpl w:val="B7F49998"/>
    <w:lvl w:ilvl="0" w:tplc="D0DE8870">
      <w:start w:val="1"/>
      <w:numFmt w:val="decimal"/>
      <w:lvlText w:val="%1、"/>
      <w:lvlJc w:val="left"/>
      <w:pPr>
        <w:ind w:left="36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853998"/>
    <w:multiLevelType w:val="hybridMultilevel"/>
    <w:tmpl w:val="367CC59A"/>
    <w:lvl w:ilvl="0" w:tplc="FD1807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BB31CF"/>
    <w:multiLevelType w:val="hybridMultilevel"/>
    <w:tmpl w:val="1D64FEDE"/>
    <w:lvl w:ilvl="0" w:tplc="A97A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050F82"/>
    <w:multiLevelType w:val="hybridMultilevel"/>
    <w:tmpl w:val="166A299A"/>
    <w:lvl w:ilvl="0" w:tplc="FD02CBD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DD1224"/>
    <w:multiLevelType w:val="hybridMultilevel"/>
    <w:tmpl w:val="B49069C6"/>
    <w:lvl w:ilvl="0" w:tplc="FD1807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DB71A3"/>
    <w:multiLevelType w:val="hybridMultilevel"/>
    <w:tmpl w:val="9FAE7454"/>
    <w:lvl w:ilvl="0" w:tplc="3DCC407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7CA54BA"/>
    <w:multiLevelType w:val="hybridMultilevel"/>
    <w:tmpl w:val="D026F07A"/>
    <w:lvl w:ilvl="0" w:tplc="B0E49C4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F8456E"/>
    <w:multiLevelType w:val="hybridMultilevel"/>
    <w:tmpl w:val="B49069C6"/>
    <w:lvl w:ilvl="0" w:tplc="FD180776">
      <w:start w:val="1"/>
      <w:numFmt w:val="decimal"/>
      <w:lvlText w:val="%1．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8">
    <w:nsid w:val="281A1630"/>
    <w:multiLevelType w:val="hybridMultilevel"/>
    <w:tmpl w:val="0D4C9D90"/>
    <w:lvl w:ilvl="0" w:tplc="E0EECF4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3B867D5"/>
    <w:multiLevelType w:val="hybridMultilevel"/>
    <w:tmpl w:val="47282614"/>
    <w:lvl w:ilvl="0" w:tplc="402C39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9E30C9"/>
    <w:multiLevelType w:val="hybridMultilevel"/>
    <w:tmpl w:val="5BA434AA"/>
    <w:lvl w:ilvl="0" w:tplc="0E42610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18F46A1"/>
    <w:multiLevelType w:val="hybridMultilevel"/>
    <w:tmpl w:val="B49069C6"/>
    <w:lvl w:ilvl="0" w:tplc="FD1807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6F1B1A"/>
    <w:multiLevelType w:val="hybridMultilevel"/>
    <w:tmpl w:val="B9D0F862"/>
    <w:lvl w:ilvl="0" w:tplc="B198B9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AF1343"/>
    <w:multiLevelType w:val="hybridMultilevel"/>
    <w:tmpl w:val="F65E0B48"/>
    <w:lvl w:ilvl="0" w:tplc="B80C5A8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5B2E7D"/>
    <w:multiLevelType w:val="hybridMultilevel"/>
    <w:tmpl w:val="7D465ED8"/>
    <w:lvl w:ilvl="0" w:tplc="6A1C29D0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C1E5FE1"/>
    <w:multiLevelType w:val="hybridMultilevel"/>
    <w:tmpl w:val="3614F772"/>
    <w:lvl w:ilvl="0" w:tplc="65224F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570759"/>
    <w:multiLevelType w:val="hybridMultilevel"/>
    <w:tmpl w:val="3CE22038"/>
    <w:lvl w:ilvl="0" w:tplc="18FA9F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F04B0B"/>
    <w:multiLevelType w:val="hybridMultilevel"/>
    <w:tmpl w:val="D284BCF8"/>
    <w:lvl w:ilvl="0" w:tplc="3004706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51020CB"/>
    <w:multiLevelType w:val="hybridMultilevel"/>
    <w:tmpl w:val="9664EA02"/>
    <w:lvl w:ilvl="0" w:tplc="CE9EFC0A">
      <w:start w:val="1"/>
      <w:numFmt w:val="decimal"/>
      <w:lvlText w:val="%1、"/>
      <w:lvlJc w:val="left"/>
      <w:pPr>
        <w:ind w:left="192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9">
    <w:nsid w:val="5524111E"/>
    <w:multiLevelType w:val="hybridMultilevel"/>
    <w:tmpl w:val="B01E0384"/>
    <w:lvl w:ilvl="0" w:tplc="71462D2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6922E9F"/>
    <w:multiLevelType w:val="hybridMultilevel"/>
    <w:tmpl w:val="49000CC4"/>
    <w:lvl w:ilvl="0" w:tplc="A6209DC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74B4602"/>
    <w:multiLevelType w:val="hybridMultilevel"/>
    <w:tmpl w:val="367CC59A"/>
    <w:lvl w:ilvl="0" w:tplc="FD1807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21"/>
  </w:num>
  <w:num w:numId="5">
    <w:abstractNumId w:val="4"/>
  </w:num>
  <w:num w:numId="6">
    <w:abstractNumId w:val="1"/>
  </w:num>
  <w:num w:numId="7">
    <w:abstractNumId w:val="0"/>
  </w:num>
  <w:num w:numId="8">
    <w:abstractNumId w:val="15"/>
  </w:num>
  <w:num w:numId="9">
    <w:abstractNumId w:val="20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6"/>
  </w:num>
  <w:num w:numId="15">
    <w:abstractNumId w:val="19"/>
  </w:num>
  <w:num w:numId="16">
    <w:abstractNumId w:val="5"/>
  </w:num>
  <w:num w:numId="17">
    <w:abstractNumId w:val="8"/>
  </w:num>
  <w:num w:numId="18">
    <w:abstractNumId w:val="17"/>
  </w:num>
  <w:num w:numId="19">
    <w:abstractNumId w:val="6"/>
  </w:num>
  <w:num w:numId="20">
    <w:abstractNumId w:val="13"/>
  </w:num>
  <w:num w:numId="21">
    <w:abstractNumId w:val="10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0B"/>
    <w:rsid w:val="000014C3"/>
    <w:rsid w:val="000219A8"/>
    <w:rsid w:val="00024A05"/>
    <w:rsid w:val="00027BC7"/>
    <w:rsid w:val="000415DA"/>
    <w:rsid w:val="000424A8"/>
    <w:rsid w:val="00050BE2"/>
    <w:rsid w:val="000512BB"/>
    <w:rsid w:val="000615A5"/>
    <w:rsid w:val="000844FD"/>
    <w:rsid w:val="00090D04"/>
    <w:rsid w:val="00091A5A"/>
    <w:rsid w:val="00091FB9"/>
    <w:rsid w:val="00096941"/>
    <w:rsid w:val="00097C9E"/>
    <w:rsid w:val="000A2A62"/>
    <w:rsid w:val="000D0A25"/>
    <w:rsid w:val="000D75D0"/>
    <w:rsid w:val="00101094"/>
    <w:rsid w:val="0010721D"/>
    <w:rsid w:val="00122348"/>
    <w:rsid w:val="00132065"/>
    <w:rsid w:val="00143306"/>
    <w:rsid w:val="0014453A"/>
    <w:rsid w:val="00145D1D"/>
    <w:rsid w:val="00146C60"/>
    <w:rsid w:val="001577A1"/>
    <w:rsid w:val="001648B2"/>
    <w:rsid w:val="001874C6"/>
    <w:rsid w:val="001878D5"/>
    <w:rsid w:val="00193310"/>
    <w:rsid w:val="001A3313"/>
    <w:rsid w:val="001A3368"/>
    <w:rsid w:val="001E0C94"/>
    <w:rsid w:val="001E1731"/>
    <w:rsid w:val="001E20D3"/>
    <w:rsid w:val="001E37B0"/>
    <w:rsid w:val="001E68CE"/>
    <w:rsid w:val="001F66B9"/>
    <w:rsid w:val="0022207F"/>
    <w:rsid w:val="002277A6"/>
    <w:rsid w:val="002354AF"/>
    <w:rsid w:val="00240A5A"/>
    <w:rsid w:val="00246FC4"/>
    <w:rsid w:val="002502AE"/>
    <w:rsid w:val="00256DC8"/>
    <w:rsid w:val="00261144"/>
    <w:rsid w:val="002646D5"/>
    <w:rsid w:val="00274F84"/>
    <w:rsid w:val="002858A0"/>
    <w:rsid w:val="00294555"/>
    <w:rsid w:val="002A2D8C"/>
    <w:rsid w:val="002A3AC7"/>
    <w:rsid w:val="002B1BB6"/>
    <w:rsid w:val="002B60DF"/>
    <w:rsid w:val="002C5FBB"/>
    <w:rsid w:val="0031501E"/>
    <w:rsid w:val="0032198E"/>
    <w:rsid w:val="00321F78"/>
    <w:rsid w:val="00324122"/>
    <w:rsid w:val="00342258"/>
    <w:rsid w:val="00343F29"/>
    <w:rsid w:val="00345F55"/>
    <w:rsid w:val="00367B57"/>
    <w:rsid w:val="00373DE2"/>
    <w:rsid w:val="00381326"/>
    <w:rsid w:val="00383EF0"/>
    <w:rsid w:val="003A22E8"/>
    <w:rsid w:val="003B11D4"/>
    <w:rsid w:val="003C40E5"/>
    <w:rsid w:val="003C7330"/>
    <w:rsid w:val="003C799B"/>
    <w:rsid w:val="003D53BC"/>
    <w:rsid w:val="003E0F35"/>
    <w:rsid w:val="003F27B3"/>
    <w:rsid w:val="00402BAF"/>
    <w:rsid w:val="00404B4C"/>
    <w:rsid w:val="004078CE"/>
    <w:rsid w:val="004108A7"/>
    <w:rsid w:val="00410F53"/>
    <w:rsid w:val="0042510F"/>
    <w:rsid w:val="004272A9"/>
    <w:rsid w:val="00434205"/>
    <w:rsid w:val="00436C25"/>
    <w:rsid w:val="00450125"/>
    <w:rsid w:val="00453233"/>
    <w:rsid w:val="00461300"/>
    <w:rsid w:val="0046245F"/>
    <w:rsid w:val="0047119A"/>
    <w:rsid w:val="00481EBB"/>
    <w:rsid w:val="00497677"/>
    <w:rsid w:val="004A66BA"/>
    <w:rsid w:val="004B09C9"/>
    <w:rsid w:val="004B5204"/>
    <w:rsid w:val="004D5A12"/>
    <w:rsid w:val="004E33BF"/>
    <w:rsid w:val="004E6EEC"/>
    <w:rsid w:val="004F6803"/>
    <w:rsid w:val="00501954"/>
    <w:rsid w:val="00505AB6"/>
    <w:rsid w:val="005163CD"/>
    <w:rsid w:val="00530C9E"/>
    <w:rsid w:val="00547ECE"/>
    <w:rsid w:val="0055171D"/>
    <w:rsid w:val="00556C03"/>
    <w:rsid w:val="005618BA"/>
    <w:rsid w:val="005642B4"/>
    <w:rsid w:val="00581C91"/>
    <w:rsid w:val="0058631A"/>
    <w:rsid w:val="00596F36"/>
    <w:rsid w:val="0059773C"/>
    <w:rsid w:val="005B464E"/>
    <w:rsid w:val="005B5BA6"/>
    <w:rsid w:val="005C2AE3"/>
    <w:rsid w:val="005C3160"/>
    <w:rsid w:val="005D230B"/>
    <w:rsid w:val="005E3721"/>
    <w:rsid w:val="005F3146"/>
    <w:rsid w:val="006032E3"/>
    <w:rsid w:val="00617017"/>
    <w:rsid w:val="0062162A"/>
    <w:rsid w:val="006319DB"/>
    <w:rsid w:val="006324FB"/>
    <w:rsid w:val="00634744"/>
    <w:rsid w:val="00636639"/>
    <w:rsid w:val="0064220E"/>
    <w:rsid w:val="006517ED"/>
    <w:rsid w:val="00662898"/>
    <w:rsid w:val="00680E58"/>
    <w:rsid w:val="00681220"/>
    <w:rsid w:val="006B23E2"/>
    <w:rsid w:val="006C2235"/>
    <w:rsid w:val="006F21FA"/>
    <w:rsid w:val="006F7BA9"/>
    <w:rsid w:val="00700B27"/>
    <w:rsid w:val="0072119E"/>
    <w:rsid w:val="00721A35"/>
    <w:rsid w:val="00790235"/>
    <w:rsid w:val="007C3CF0"/>
    <w:rsid w:val="007D5333"/>
    <w:rsid w:val="007E0E9E"/>
    <w:rsid w:val="008005E7"/>
    <w:rsid w:val="00803C61"/>
    <w:rsid w:val="008613B3"/>
    <w:rsid w:val="0086388E"/>
    <w:rsid w:val="008815DE"/>
    <w:rsid w:val="008825BC"/>
    <w:rsid w:val="008836AB"/>
    <w:rsid w:val="008912BE"/>
    <w:rsid w:val="00894846"/>
    <w:rsid w:val="008A240D"/>
    <w:rsid w:val="008C2A03"/>
    <w:rsid w:val="008E1D2D"/>
    <w:rsid w:val="00901B60"/>
    <w:rsid w:val="00903628"/>
    <w:rsid w:val="00911D25"/>
    <w:rsid w:val="00917BDF"/>
    <w:rsid w:val="00947330"/>
    <w:rsid w:val="00970F10"/>
    <w:rsid w:val="00982BA2"/>
    <w:rsid w:val="00992167"/>
    <w:rsid w:val="00997AB4"/>
    <w:rsid w:val="009B1396"/>
    <w:rsid w:val="009C2D6A"/>
    <w:rsid w:val="009C349C"/>
    <w:rsid w:val="009C6B30"/>
    <w:rsid w:val="009E5751"/>
    <w:rsid w:val="009F1903"/>
    <w:rsid w:val="009F3E43"/>
    <w:rsid w:val="009F468D"/>
    <w:rsid w:val="00A03182"/>
    <w:rsid w:val="00A12AD7"/>
    <w:rsid w:val="00A2209E"/>
    <w:rsid w:val="00A27E1D"/>
    <w:rsid w:val="00A54012"/>
    <w:rsid w:val="00A561DA"/>
    <w:rsid w:val="00A57CF3"/>
    <w:rsid w:val="00A57D83"/>
    <w:rsid w:val="00A621FA"/>
    <w:rsid w:val="00A64024"/>
    <w:rsid w:val="00A74FFF"/>
    <w:rsid w:val="00A82DD9"/>
    <w:rsid w:val="00A90A66"/>
    <w:rsid w:val="00AA58B5"/>
    <w:rsid w:val="00AB3FB8"/>
    <w:rsid w:val="00AB53CD"/>
    <w:rsid w:val="00AB5949"/>
    <w:rsid w:val="00AD1AF7"/>
    <w:rsid w:val="00AD5A26"/>
    <w:rsid w:val="00AE3C09"/>
    <w:rsid w:val="00AE6A3C"/>
    <w:rsid w:val="00B014D9"/>
    <w:rsid w:val="00B110E5"/>
    <w:rsid w:val="00B132A6"/>
    <w:rsid w:val="00B14C11"/>
    <w:rsid w:val="00B2560A"/>
    <w:rsid w:val="00B318ED"/>
    <w:rsid w:val="00B52501"/>
    <w:rsid w:val="00B579DF"/>
    <w:rsid w:val="00B81E7D"/>
    <w:rsid w:val="00BB3897"/>
    <w:rsid w:val="00BB72F7"/>
    <w:rsid w:val="00BC4AEB"/>
    <w:rsid w:val="00BC57BC"/>
    <w:rsid w:val="00BF3C2E"/>
    <w:rsid w:val="00BF78BD"/>
    <w:rsid w:val="00C04CFB"/>
    <w:rsid w:val="00C06B3A"/>
    <w:rsid w:val="00C22FC5"/>
    <w:rsid w:val="00C32D39"/>
    <w:rsid w:val="00C51471"/>
    <w:rsid w:val="00C61BBC"/>
    <w:rsid w:val="00C72400"/>
    <w:rsid w:val="00C83FE4"/>
    <w:rsid w:val="00C84FD9"/>
    <w:rsid w:val="00C8695A"/>
    <w:rsid w:val="00CA3EBE"/>
    <w:rsid w:val="00CB5495"/>
    <w:rsid w:val="00CB7468"/>
    <w:rsid w:val="00CC7948"/>
    <w:rsid w:val="00CD0E61"/>
    <w:rsid w:val="00CD20E5"/>
    <w:rsid w:val="00CD79C9"/>
    <w:rsid w:val="00CE099E"/>
    <w:rsid w:val="00CE26C0"/>
    <w:rsid w:val="00D00B51"/>
    <w:rsid w:val="00D35E88"/>
    <w:rsid w:val="00D546DE"/>
    <w:rsid w:val="00D54F15"/>
    <w:rsid w:val="00D65DD1"/>
    <w:rsid w:val="00D770C9"/>
    <w:rsid w:val="00D775E9"/>
    <w:rsid w:val="00D77712"/>
    <w:rsid w:val="00D9055E"/>
    <w:rsid w:val="00D94677"/>
    <w:rsid w:val="00DA0EA8"/>
    <w:rsid w:val="00DA6DE9"/>
    <w:rsid w:val="00DB7FDA"/>
    <w:rsid w:val="00DC4128"/>
    <w:rsid w:val="00DC64BD"/>
    <w:rsid w:val="00DD7380"/>
    <w:rsid w:val="00DE0792"/>
    <w:rsid w:val="00DF6F83"/>
    <w:rsid w:val="00E11634"/>
    <w:rsid w:val="00E207B5"/>
    <w:rsid w:val="00E2441A"/>
    <w:rsid w:val="00E3266F"/>
    <w:rsid w:val="00E33385"/>
    <w:rsid w:val="00E36203"/>
    <w:rsid w:val="00E80813"/>
    <w:rsid w:val="00E86F96"/>
    <w:rsid w:val="00E8743C"/>
    <w:rsid w:val="00E92313"/>
    <w:rsid w:val="00EA12E7"/>
    <w:rsid w:val="00EA30B5"/>
    <w:rsid w:val="00EB5709"/>
    <w:rsid w:val="00EC1F44"/>
    <w:rsid w:val="00EE2125"/>
    <w:rsid w:val="00EE6D3B"/>
    <w:rsid w:val="00EF293E"/>
    <w:rsid w:val="00EF3FDC"/>
    <w:rsid w:val="00EF6DED"/>
    <w:rsid w:val="00F147EF"/>
    <w:rsid w:val="00F16426"/>
    <w:rsid w:val="00F2176C"/>
    <w:rsid w:val="00F2334B"/>
    <w:rsid w:val="00F379A3"/>
    <w:rsid w:val="00F55F8F"/>
    <w:rsid w:val="00F604E8"/>
    <w:rsid w:val="00F60BCD"/>
    <w:rsid w:val="00F63F34"/>
    <w:rsid w:val="00F674E4"/>
    <w:rsid w:val="00F7571A"/>
    <w:rsid w:val="00FA29DA"/>
    <w:rsid w:val="00FA2EC2"/>
    <w:rsid w:val="00FB0083"/>
    <w:rsid w:val="00FB36DA"/>
    <w:rsid w:val="00FB3CC6"/>
    <w:rsid w:val="00FC07F4"/>
    <w:rsid w:val="00FC43B1"/>
    <w:rsid w:val="00FD2A0F"/>
    <w:rsid w:val="00FE0023"/>
    <w:rsid w:val="00FF1545"/>
    <w:rsid w:val="00FF4328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63D1FF-7DDA-4039-A03E-03099425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A54012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5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32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874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874C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10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08A7"/>
    <w:rPr>
      <w:sz w:val="18"/>
      <w:szCs w:val="18"/>
    </w:rPr>
  </w:style>
  <w:style w:type="paragraph" w:styleId="a7">
    <w:name w:val="footer"/>
    <w:basedOn w:val="a"/>
    <w:link w:val="Char1"/>
    <w:unhideWhenUsed/>
    <w:rsid w:val="00410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08A7"/>
    <w:rPr>
      <w:sz w:val="18"/>
      <w:szCs w:val="18"/>
    </w:rPr>
  </w:style>
  <w:style w:type="character" w:styleId="a8">
    <w:name w:val="page number"/>
    <w:basedOn w:val="a0"/>
    <w:rsid w:val="000615A5"/>
  </w:style>
  <w:style w:type="paragraph" w:styleId="a9">
    <w:name w:val="Date"/>
    <w:basedOn w:val="a"/>
    <w:next w:val="a"/>
    <w:link w:val="Char2"/>
    <w:rsid w:val="000615A5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9"/>
    <w:rsid w:val="000615A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D66E-882B-414F-89F7-5D46BC60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国土环保局-余莹莹</dc:creator>
  <cp:keywords/>
  <dc:description/>
  <cp:lastModifiedBy>生态环境局-余莹莹</cp:lastModifiedBy>
  <cp:revision>3</cp:revision>
  <cp:lastPrinted>2021-04-12T08:57:00Z</cp:lastPrinted>
  <dcterms:created xsi:type="dcterms:W3CDTF">2021-04-30T02:18:00Z</dcterms:created>
  <dcterms:modified xsi:type="dcterms:W3CDTF">2021-04-30T02:56:00Z</dcterms:modified>
</cp:coreProperties>
</file>