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center"/>
        <w:rPr>
          <w:rFonts w:ascii="文星标宋" w:hAnsi="文星标宋" w:eastAsia="文星标宋" w:cs="文星标宋"/>
          <w:bCs/>
          <w:sz w:val="44"/>
          <w:szCs w:val="44"/>
        </w:rPr>
      </w:pPr>
      <w:r>
        <w:rPr>
          <w:rFonts w:hint="eastAsia" w:ascii="文星标宋" w:hAnsi="文星标宋" w:eastAsia="文星标宋" w:cs="文星标宋"/>
          <w:bCs/>
          <w:sz w:val="44"/>
          <w:szCs w:val="44"/>
          <w:lang w:val="en-US" w:eastAsia="zh-CN"/>
        </w:rPr>
        <w:t>苏州市</w:t>
      </w:r>
      <w:bookmarkStart w:id="0" w:name="_GoBack"/>
      <w:bookmarkEnd w:id="0"/>
      <w:r>
        <w:rPr>
          <w:rFonts w:hint="eastAsia" w:ascii="文星标宋" w:hAnsi="文星标宋" w:eastAsia="文星标宋" w:cs="文星标宋"/>
          <w:bCs/>
          <w:sz w:val="44"/>
          <w:szCs w:val="44"/>
        </w:rPr>
        <w:t>知识产权保护中心</w:t>
      </w:r>
      <w:r>
        <w:rPr>
          <w:rFonts w:hint="default" w:ascii="文星标宋" w:hAnsi="文星标宋" w:eastAsia="文星标宋" w:cs="文星标宋"/>
          <w:bCs/>
          <w:sz w:val="44"/>
          <w:szCs w:val="44"/>
          <w:lang w:val="en-US"/>
        </w:rPr>
        <w:t>IPC</w:t>
      </w:r>
      <w:r>
        <w:rPr>
          <w:rFonts w:hint="eastAsia" w:ascii="文星标宋" w:hAnsi="文星标宋" w:eastAsia="文星标宋" w:cs="文星标宋"/>
          <w:bCs/>
          <w:sz w:val="44"/>
          <w:szCs w:val="44"/>
        </w:rPr>
        <w:t>分类号</w:t>
      </w:r>
    </w:p>
    <w:p/>
    <w:tbl>
      <w:tblPr>
        <w:tblStyle w:val="5"/>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1365"/>
        <w:gridCol w:w="6911"/>
      </w:tblGrid>
      <w:tr>
        <w:tblPrEx>
          <w:tblLayout w:type="fixed"/>
          <w:tblCellMar>
            <w:top w:w="0" w:type="dxa"/>
            <w:left w:w="108" w:type="dxa"/>
            <w:bottom w:w="0" w:type="dxa"/>
            <w:right w:w="108" w:type="dxa"/>
          </w:tblCellMar>
        </w:tblPrEx>
        <w:trPr>
          <w:trHeight w:val="350" w:hRule="atLeast"/>
        </w:trPr>
        <w:tc>
          <w:tcPr>
            <w:tcW w:w="791" w:type="dxa"/>
            <w:vAlign w:val="center"/>
          </w:tcPr>
          <w:p>
            <w:pPr>
              <w:widowControl/>
              <w:snapToGrid w:val="0"/>
              <w:spacing w:after="0" w:line="280" w:lineRule="exact"/>
              <w:jc w:val="center"/>
              <w:rPr>
                <w:rFonts w:ascii="仿宋" w:hAnsi="仿宋" w:eastAsia="仿宋" w:cs="仿宋"/>
                <w:sz w:val="24"/>
                <w:szCs w:val="24"/>
              </w:rPr>
            </w:pPr>
            <w:r>
              <w:rPr>
                <w:rFonts w:hint="eastAsia" w:ascii="仿宋" w:hAnsi="仿宋" w:eastAsia="仿宋" w:cs="仿宋"/>
                <w:b/>
                <w:bCs/>
                <w:kern w:val="0"/>
                <w:sz w:val="24"/>
                <w:szCs w:val="24"/>
              </w:rPr>
              <w:t>序号</w:t>
            </w:r>
          </w:p>
        </w:tc>
        <w:tc>
          <w:tcPr>
            <w:tcW w:w="1365" w:type="dxa"/>
            <w:vAlign w:val="center"/>
          </w:tcPr>
          <w:p>
            <w:pPr>
              <w:widowControl/>
              <w:snapToGrid w:val="0"/>
              <w:spacing w:after="0" w:line="280" w:lineRule="exact"/>
              <w:jc w:val="center"/>
              <w:rPr>
                <w:rFonts w:ascii="仿宋" w:hAnsi="仿宋" w:eastAsia="仿宋" w:cs="仿宋"/>
                <w:sz w:val="24"/>
                <w:szCs w:val="24"/>
              </w:rPr>
            </w:pPr>
            <w:r>
              <w:rPr>
                <w:rFonts w:hint="eastAsia" w:ascii="仿宋" w:hAnsi="仿宋" w:eastAsia="仿宋" w:cs="仿宋"/>
                <w:b/>
                <w:bCs/>
                <w:kern w:val="0"/>
                <w:sz w:val="24"/>
                <w:szCs w:val="24"/>
              </w:rPr>
              <w:t>IPC分类号（小类）</w:t>
            </w:r>
          </w:p>
        </w:tc>
        <w:tc>
          <w:tcPr>
            <w:tcW w:w="6911" w:type="dxa"/>
            <w:vAlign w:val="center"/>
          </w:tcPr>
          <w:p>
            <w:pPr>
              <w:widowControl/>
              <w:snapToGrid w:val="0"/>
              <w:spacing w:after="0" w:line="280" w:lineRule="exact"/>
              <w:jc w:val="center"/>
              <w:rPr>
                <w:rFonts w:ascii="仿宋" w:hAnsi="仿宋" w:eastAsia="仿宋" w:cs="仿宋"/>
                <w:sz w:val="24"/>
                <w:szCs w:val="24"/>
              </w:rPr>
            </w:pPr>
            <w:r>
              <w:rPr>
                <w:rFonts w:hint="eastAsia" w:ascii="仿宋" w:hAnsi="仿宋" w:eastAsia="仿宋" w:cs="仿宋"/>
                <w:b/>
                <w:bCs/>
                <w:kern w:val="0"/>
                <w:sz w:val="24"/>
                <w:szCs w:val="24"/>
              </w:rPr>
              <w:t>IPC分类号说明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B01D</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分离（用湿法从固体中分离固体入B03B、B03D，用风力跳汰机或摇床入B03B，用其他干法入B07；固体物料从固体物料或流体中的磁或静电分离，利用高压电场的分离入B03C；离心机、涡旋装置入B04B；涡旋装置入B04C；用于从含液物料中挤出液体的压力机本身入B30B 9/02）〔5〕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B01J</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化学或物理方法，例如，催化作用或胶体化学；其有关设备〔2〕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B08B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一般清洁；一般污垢的防除（刷子入A46；家庭或类似清洁装置入A47L；颗粒从液体或气体中分离入B01D；固体分离入B03，B07；一般对表面喷射或涂敷液体或其他流体材料入B05；用于输送机的清洗装置入B65G 45/10；对瓶子同时进行清洗、灌注和封装的入B67C 7/00；一般腐蚀或积垢的防止入C23；街道、永久性道路、海滨或陆地的清洗入E01H；专门用于游泳池或仿海滨浴场浅水池或池子的部件、零件或辅助设备清洁的入E04H 4/16；防止或清除静电荷入H05F）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4</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B21D</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金属板或管、棒或型材的基本无切削加工或处理；冲压金属（线材的加工或处理入B21F）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5</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B23K</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钎焊或脱焊；焊接；用钎焊或焊接方法包覆或镀敷；局部加热切割，如火焰切割；用激光束加工（用金属的挤压来制造金属包覆产品入B21C 23/22；用铸造方法制造衬套或包覆层入B22D 19/08；用浸入方式的铸造入B22D 23/04；用烧结金属粉末制造复合层入B22F 7/00；机床上的仿形加工或控制装置入B23Q；不包含在其他类目中的包覆金属或金属包覆材料入C23C；燃烧器入F23D）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7" w:hRule="atLeast"/>
        </w:trPr>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6</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B23P</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金属的其他加工；组合加工；万能机床（仿形加工或控制装置入B23Q）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7</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B23Q</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机床的零件、部件或附件，如仿形装置或控制装置（在车床或镗床上使用的各类刀具入B23B 27/00）；以特殊零件或部件的结构为特征的通用机床；不针对某一特殊金属加工用途的金属加工机床的组合或联合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8</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B24B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用于磨削或抛光的机床、装置或工艺（用电蚀入B23H；磨料或有关喷射入B24C；电解浸蚀或电解抛光入C25F 3/00）；磨具磨损表面的修理或调节；磨削，抛光剂或研磨剂的进给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9</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B25B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不包含在其他类目中的用于紧固、连接、拆卸或夹持的工具或台式设备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10</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B25J</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机械手；装有操纵装置的容器（单独采摘水果、蔬菜、啤酒花或类似作物的自动装置入A01D 46/30；外科用的针头操纵器入A61B 17/062；与滚轧机有关的机械手入B21B 39/20；与锻压机有关的机械手入B21J 13/10；夹持轮子或其部件的装置入B60B 30/00；起重机入B66C；用于核反应堆中所用的燃料或其他材料的处理设备入G21C 19/00；机械手与加有防辐射的小室或房间的组合结构入G21F 7/06）〔5〕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11</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B29C</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塑料的成型或连接；塑性状态材料的成型，不包含在其他类目中的；已成型产品的后处理，例如修整（制作预型件入B29B 11/00；通过将原本不相连接的层结合成为各层连在一起的产品来制造层状产品入B32B 7/00至B32B 41/00）〔4〕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12</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B32B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层状产品，即由扁平的或非扁平的薄层，例如泡沫状的、蜂窝状的薄层构成的产品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13</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B65B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包装物件或物料的机械，装置或设备，或方法；启封（雪茄烟的捆扎和压紧装置入A24C1/44；适合于由物品或要包扎物件支承的包扎带的固定和拉紧装置入B25B25/00；将瓶子、罐或相似容器的封闭件入B67B1/00-B67B6/00；对瓶子同时进行清洗，灌注和封装入B67C7/00；瓶子，罐，罐头，木桶，桶或类似容器的排空入B67C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14</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B65D</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用于物件或物料贮存或运输的容器，如袋、桶、瓶子、箱盒、罐头、纸板箱、板条箱、圆桶、罐、槽、料仓、运输容器；所用的附件、封口或配件；包装元件；包装件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15</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B65G</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运输或贮存装置，例如装载或倾卸用输送机、车间输送机系统或气动管道输送机（包装用的入B65B；搬运薄的或细丝状材料如纸张或细丝入B65H；起重机入B66C；便携式或可移动的举升或牵引器具，如升降机入B66D；用于装载或卸载目的的升降货物的装置，如叉车，入B66F9/00；不包括在其他类目中的瓶子、罐、罐头、木桶、桶或类似容器的排空入B67C9/00；液体分配或转移入B67D；将压缩的、液化的或固体化的气体灌入容器或从容器内排出入F17C；流体用管道系统入F17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16</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B65H</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搬运薄的或细丝状材料，如薄板、条材、缆索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17</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B66B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升降机；自动扶梯或移动人行道（用作替代正常出口的救生装置，如支撑在大楼或者其他结构上的楼梯、用于降下人员的营救笼、袋或具有类似功能的设备入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"http://www.wipo.int/ripcis/pls/%09%09%09%09%09%09%20%09javascript:jumpDirect('f','A62B0001020000','xml')%09%09%09%09%09%09"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A62B 1/02</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；与飞机配合或装在飞机上用于装卸货物或便于乘客乘降或具有类似功能的设备入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"http://www.wipo.int/ripcis/pls/%09%09%09%09%09%09%20%09javascript:jumpDirect('f','B64D0009000000','xml')%09%09%09%09%09%09"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B64D 9/00</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；以用于提升或卷扬机构为特点的制动或停止装置入</w:t>
            </w: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HYPERLINK "http://www.wipo.int/ripcis/pls/%09%09%09%09%09%09%20%09javascript:jumpDirect('f','B66D0005000000','xml')%09%09%09%09%09%09"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t>B66D 5/00</w:t>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18</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C02F</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水、废水、污水或污泥的处理（通过在物质中产生化学变化使有害的化学物质无害或降低危害的方法入A62D 3/00；分离、沉淀箱或过滤设备入B01D；有关处理水、废水或污水生产装置的水运容器的特殊设备，例如用于制备淡水入B63J；为防止水的腐蚀用的添加物质入C23F；放射性废液的处理入G21F 9/04）〔3〕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19</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C04B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石灰；氧化镁；矿渣；水泥；其组合物，例如：砂浆、混凝土或类似的建筑材料；人造石；陶瓷（微晶玻璃陶瓷入C03C 10/00）；耐火材料（难熔金属的合金入C22C）；天然石的处理〔4〕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20</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C09J</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黏合剂；一般非机械方面的黏合方法；其他类目不包括的黏合方法；黏合剂材料的应用（外科黏合剂入A61L 24/00；在层状产品中用作黏合剂的基于未指明的有机高分子化合物的黏合剂入B32B；使用黏合剂或热熔黏合剂在织物或具有可变形表面的类似物料或物件上贴标签，分别入B65C 5/02，B65C 5/04；动物胶或明胶的制备入C09H ；带黏性的标签、签条或类似识别指示装置入G09F 3/10）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21</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C22C</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合金（合金的处理入C21D、C22F）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22</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D06M</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对纤维、纱、线、织物、羽毛或由这些材料制成的纤维制品进行D06类内其他类目所不包括的处理（用机械方法处理织物入D06B至D06J）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23</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F21S</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非便携式照明装置或其系统；专门适用于车辆外部的车辆照明设备〔1，7〕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24</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F24F</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空气调节；空气增湿；通风；空气流作为屏蔽的应用（从尘、烟产生区消除尘、烟入B08B 15/00；从建筑物中排除废气的竖向管道入E04F17/02；，烟道末端入F23L17/02）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9" w:hRule="atLeast"/>
        </w:trPr>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25</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G01B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长度、厚度或类似线性尺寸的计量；角度的计量；面积的计量；不规则的表面或轮廓的计量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26</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G01M</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机器或结构部件的静或动平衡的测试；其他类目中不包括的结构部件或设备的测试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27</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G01N</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（除免疫测定法以外包括酶或微生物的测量或试验入C12M，C12Q）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28</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G01R</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测量电变量；测量磁变量（指示谐振电路的正确调谐入H03J 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29</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G02B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光学元件、系统或仪器（G02F优先；专用于照明装置或系统的光学元件入F21V 1/00至F21V 13/00；测量仪器见G01类的有关小类，例如，光学测距仪入G01C；光学元件、系统或仪器的测试入G01M 11/00；眼镜入G02C；摄影、放映或观看用的装置或设备入G03B；声透镜入G10K 11/30；电子和离子“光学”入H01J；X射线“光学”入H01J，H05G 1/00；结构上与放电管相组合的光学元件入H01J 5/16，H01J 29/89，H01J 37/22；微波“光学”入H01Q；光学元件与电视接收机的组合装置入H04N 5/72；彩色电视系统中的光学系统或装置入H04N 9/00；专门适用于透明或反射区的加热装置入H05B 3/84）〔1，7〕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30</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G05B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一般的控制或调节系统；这种系统的功能单元；用于这种系统或单元的监视或测试装置（应用流体作用的一般流体压力执行器或系统入F15B；阀门本身入F16K；仅按机械特征区分的入G05G；传感元件见相应小类，例如G12B，G01、H01的小类；校正单元见相应的小类，例如H02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31</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G06F</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电数字数据处理（基于特定计算模型的计算机系统入G06N）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32</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G06K</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数据识别；数据表示；记录载体；记录载体的处理（印刷本身入B41J）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33</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G06Q</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专门适用于行政、商业、金融、管理、监督或预测目的的数据处理系统或方法；其他类目不包含的专门适用于行政、商业、金融、管理、监督或预测目的的处理系统或方法〔8〕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34</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H01B</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电缆；导体；绝缘体；导电、绝缘或介电材料的选择（磁性材料的选择入H01F 1/00；波导管入H01P）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35</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H01F</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磁体；电感；变压器；磁性材料的选择〔2〕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36</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H01L</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半导体器件；其他类目中不包括的电固体器件（使用半导体器件的测量入G01；一般电阻器入H01C；磁体、电感器、变压器入H01F；一般电容器入H01G；电解型器件入H01G 9/00；电池组、蓄电池入H01M；波导管、谐振器或波导型线路入H01P；线路连接器、汇流器入H01R；受激发射器件入H01S；机电谐振器入H03H；扬声器、送话器、留声机拾音器或类似的声机电传感器入H04R；一般电光源入H05B；印刷电路、混合电路、电设备的外壳或结构零部件、电气元件的组件的制造入H05K；在具有特殊应用的电路中半导体器件的使用见该应用的小类）〔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37</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H01M</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用于直接转变化学能为电能的方法或装置，例如电池组〔2〕（一般电化学的方法或装置入C25；用于转变光或热为电能的半导体或其他固态器件入H01L，例如H01L 31/00，H01L 35/00，H01L 37/00）〔2〕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38</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H01R</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导电连接；一组相互绝缘的电连接元件的结构组合；连接装置；集电器（开关，熔断器入H01H；波导型耦合装置入H01P 5/00；供电或配电切换装置入H02B；电线或电缆、光电电线或电缆或电气辅助设备的安装入H02G；与印刷电路电连接或印刷电路之间电连接用的印制装置入H05K）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39</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H02J</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供电或配电的电路装置或系统；电能存储系统（用于测量X射线、γ射线、微粒子射线或宇宙射线设备的供电电路入G01T 1/175；专用于具有不动件的电子时钟的供电电路入G04G 19/00；用于数字计算机的入G06F 1/18；用于放电管的入H01J 37/248；电能转换用电路或设备，这种电路或设备的控制装置或调整装置入H02M；数个电机的相关控制，原动机/发电机组的控制入H02P；高频电力的控制入H03L；用以传输信息的电力线路或电力网附加用途入H04B）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40</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H02K</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电机（电动继电器入H01H 53/00；直流或交流电力输入变换为浪涌电力输出入H02M 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41</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H04L</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数字信息的传输，例如电报通信（电报和电话通信的公用设备入H04M）〔4〕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42</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H04N</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图像通信，如电视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43</w:t>
            </w:r>
          </w:p>
        </w:tc>
        <w:tc>
          <w:tcPr>
            <w:tcW w:w="1365"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H05K</w:t>
            </w:r>
          </w:p>
        </w:tc>
        <w:tc>
          <w:tcPr>
            <w:tcW w:w="6911" w:type="dxa"/>
            <w:vAlign w:val="center"/>
          </w:tcPr>
          <w:p>
            <w:pPr>
              <w:widowControl w:val="0"/>
              <w:snapToGrid w:val="0"/>
              <w:spacing w:after="0" w:line="240" w:lineRule="auto"/>
              <w:jc w:val="both"/>
              <w:rPr>
                <w:rFonts w:hint="eastAsia" w:ascii="仿宋" w:hAnsi="仿宋" w:eastAsia="仿宋" w:cs="仿宋"/>
                <w:color w:val="auto"/>
                <w:sz w:val="24"/>
                <w:szCs w:val="24"/>
              </w:rPr>
            </w:pPr>
            <w:r>
              <w:rPr>
                <w:rFonts w:hint="eastAsia" w:ascii="仿宋" w:hAnsi="仿宋" w:eastAsia="仿宋" w:cs="仿宋"/>
                <w:color w:val="auto"/>
                <w:sz w:val="24"/>
                <w:szCs w:val="24"/>
              </w:rPr>
              <w:t>印刷电路；电设备的外壳或结构零部件；电气元件组件的制造（其他类目不包括的仪器零部件或其他设备的类似零部件入G12B；薄膜或厚膜电路入H01L 27/01，H01L 27/13；用于对印刷电路或印刷电路之间的电连接的非印刷方法入H01R；用于特殊类型设备的外壳或其结构零部件，见有关小类；仅包括单一工艺的加工方法，例如已列入其他类目的加热、喷射，见有关的类）</w:t>
            </w:r>
          </w:p>
        </w:tc>
      </w:tr>
    </w:tbl>
    <w:p>
      <w:pPr>
        <w:widowControl w:val="0"/>
        <w:snapToGrid w:val="0"/>
        <w:spacing w:after="0" w:line="240" w:lineRule="auto"/>
        <w:jc w:val="both"/>
        <w:rPr>
          <w:rFonts w:hint="eastAsia" w:ascii="仿宋" w:hAnsi="仿宋" w:eastAsia="仿宋" w:cs="仿宋"/>
          <w:color w:val="auto"/>
          <w:sz w:val="24"/>
          <w:szCs w:val="24"/>
        </w:rPr>
      </w:pPr>
    </w:p>
    <w:sectPr>
      <w:pgSz w:w="11907" w:h="16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IDFont + F2">
    <w:altName w:val="Courier Final Draft"/>
    <w:panose1 w:val="00000000000000000000"/>
    <w:charset w:val="00"/>
    <w:family w:val="auto"/>
    <w:pitch w:val="default"/>
    <w:sig w:usb0="00000000" w:usb1="00000000" w:usb2="00000000" w:usb3="00000000" w:csb0="00000000" w:csb1="00000000"/>
  </w:font>
  <w:font w:name="文星标宋">
    <w:altName w:val="微软雅黑"/>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5"/>
    <w:rsid w:val="005C547F"/>
    <w:rsid w:val="005D7155"/>
    <w:rsid w:val="00A25ABA"/>
    <w:rsid w:val="00AC796C"/>
    <w:rsid w:val="00E0119B"/>
    <w:rsid w:val="218A70EA"/>
    <w:rsid w:val="646605F7"/>
    <w:rsid w:val="7A7E1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2"/>
    <w:basedOn w:val="1"/>
    <w:next w:val="1"/>
    <w:link w:val="6"/>
    <w:qFormat/>
    <w:uiPriority w:val="0"/>
    <w:pPr>
      <w:keepNext/>
      <w:keepLines/>
      <w:adjustRightInd w:val="0"/>
      <w:snapToGrid w:val="0"/>
      <w:spacing w:before="240" w:after="120"/>
      <w:outlineLvl w:val="1"/>
    </w:pPr>
    <w:rPr>
      <w:rFonts w:cs="Arial"/>
      <w:b/>
      <w:bCs/>
      <w:sz w:val="28"/>
      <w:szCs w:val="14"/>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table" w:styleId="5">
    <w:name w:val="Table Grid"/>
    <w:basedOn w:val="4"/>
    <w:uiPriority w:val="39"/>
    <w:pPr>
      <w:widowControl w:val="0"/>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Heading 2 Char"/>
    <w:basedOn w:val="3"/>
    <w:link w:val="2"/>
    <w:uiPriority w:val="0"/>
    <w:rPr>
      <w:rFonts w:ascii="Calibri" w:hAnsi="Calibri" w:eastAsia="Calibri" w:cs="Arial"/>
      <w:b/>
      <w:bCs/>
      <w:color w:val="000000"/>
      <w:kern w:val="2"/>
      <w:sz w:val="28"/>
      <w:szCs w:val="14"/>
    </w:rPr>
  </w:style>
  <w:style w:type="character" w:customStyle="1" w:styleId="7">
    <w:name w:val="样式 标题 2 + 非加粗 Char"/>
    <w:basedOn w:val="3"/>
    <w:qFormat/>
    <w:uiPriority w:val="0"/>
    <w:rPr>
      <w:rFonts w:eastAsia="宋体"/>
      <w:b/>
      <w:bCs/>
      <w:kern w:val="2"/>
      <w:sz w:val="28"/>
      <w:szCs w:val="32"/>
      <w:lang w:val="en-US" w:eastAsia="zh-CN" w:bidi="ar-SA"/>
    </w:rPr>
  </w:style>
  <w:style w:type="character" w:customStyle="1" w:styleId="8">
    <w:name w:val="ref"/>
    <w:basedOn w:val="3"/>
    <w:qFormat/>
    <w:uiPriority w:val="0"/>
    <w:rPr>
      <w:rFonts w:hint="default" w:ascii="Arial" w:hAnsi="Arial" w:cs="Arial"/>
      <w:u w:val="none"/>
    </w:rPr>
  </w:style>
  <w:style w:type="character" w:customStyle="1" w:styleId="9">
    <w:name w:val="样式 标题 2 + Arial 非加粗 Char"/>
    <w:basedOn w:val="3"/>
    <w:qFormat/>
    <w:uiPriority w:val="0"/>
    <w:rPr>
      <w:rFonts w:eastAsia="宋体"/>
      <w:b/>
      <w:bCs/>
      <w:kern w:val="2"/>
      <w:sz w:val="28"/>
      <w:szCs w:val="32"/>
      <w:lang w:val="en-US" w:eastAsia="zh-CN" w:bidi="ar-SA"/>
    </w:rPr>
  </w:style>
  <w:style w:type="character" w:customStyle="1" w:styleId="10">
    <w:name w:val="textnew"/>
    <w:basedOn w:val="3"/>
    <w:qFormat/>
    <w:uiPriority w:val="0"/>
    <w:rPr>
      <w:i/>
      <w:iCs/>
      <w:color w:val="008000"/>
    </w:rPr>
  </w:style>
  <w:style w:type="character" w:customStyle="1" w:styleId="11">
    <w:name w:val="fontstyle01"/>
    <w:basedOn w:val="3"/>
    <w:uiPriority w:val="0"/>
    <w:rPr>
      <w:rFonts w:ascii="CIDFont + F2" w:hAnsi="CIDFont + F2" w:eastAsia="CIDFont + F2" w:cs="CIDFont + F2"/>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790</Words>
  <Characters>4508</Characters>
  <Lines>37</Lines>
  <Paragraphs>10</Paragraphs>
  <TotalTime>7</TotalTime>
  <ScaleCrop>false</ScaleCrop>
  <LinksUpToDate>false</LinksUpToDate>
  <CharactersWithSpaces>5288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2019-03-17T14:00:00Z</dcterms:created>
  <dc:creator>Kyouya Shigure</dc:creator>
  <cp:lastModifiedBy>邱汀</cp:lastModifiedBy>
  <dcterms:modified xsi:type="dcterms:W3CDTF">2019-03-20T01:43:12Z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