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20" w:type="dxa"/>
        <w:tblInd w:w="93" w:type="dxa"/>
        <w:tblLook w:val="04A0" w:firstRow="1" w:lastRow="0" w:firstColumn="1" w:lastColumn="0" w:noHBand="0" w:noVBand="1"/>
      </w:tblPr>
      <w:tblGrid>
        <w:gridCol w:w="1480"/>
        <w:gridCol w:w="2020"/>
        <w:gridCol w:w="3240"/>
        <w:gridCol w:w="3980"/>
        <w:gridCol w:w="3600"/>
      </w:tblGrid>
      <w:tr w:rsidR="00B90001" w:rsidRPr="005E0DE2" w:rsidTr="00C83D76">
        <w:trPr>
          <w:trHeight w:val="615"/>
        </w:trPr>
        <w:tc>
          <w:tcPr>
            <w:tcW w:w="14320" w:type="dxa"/>
            <w:gridSpan w:val="5"/>
            <w:tcBorders>
              <w:top w:val="nil"/>
              <w:left w:val="nil"/>
              <w:bottom w:val="single" w:sz="4" w:space="0" w:color="auto"/>
              <w:right w:val="nil"/>
            </w:tcBorders>
            <w:shd w:val="clear" w:color="auto" w:fill="auto"/>
            <w:noWrap/>
            <w:vAlign w:val="center"/>
            <w:hideMark/>
          </w:tcPr>
          <w:p w:rsidR="00B90001" w:rsidRDefault="00B90001" w:rsidP="00C83D76">
            <w:pPr>
              <w:widowControl/>
              <w:rPr>
                <w:rFonts w:ascii="黑体" w:eastAsia="黑体" w:hAnsi="黑体" w:cs="宋体"/>
                <w:color w:val="000000"/>
                <w:kern w:val="0"/>
                <w:sz w:val="36"/>
                <w:szCs w:val="36"/>
              </w:rPr>
            </w:pPr>
            <w:r w:rsidRPr="0057154D">
              <w:rPr>
                <w:rFonts w:ascii="黑体" w:eastAsia="黑体" w:hAnsi="黑体" w:cs="宋体" w:hint="eastAsia"/>
                <w:color w:val="000000"/>
                <w:kern w:val="0"/>
                <w:sz w:val="36"/>
                <w:szCs w:val="36"/>
              </w:rPr>
              <w:t>附件：苏州工业园区“园采贷”信用融资首批银行名单及银行公开承诺信息</w:t>
            </w:r>
          </w:p>
          <w:p w:rsidR="00B90001" w:rsidRPr="005E0DE2" w:rsidRDefault="00B90001" w:rsidP="00C83D76">
            <w:pPr>
              <w:widowControl/>
              <w:jc w:val="center"/>
              <w:rPr>
                <w:rFonts w:ascii="黑体" w:eastAsia="黑体" w:hAnsi="黑体" w:cs="宋体" w:hint="eastAsia"/>
                <w:color w:val="000000"/>
                <w:kern w:val="0"/>
                <w:sz w:val="24"/>
              </w:rPr>
            </w:pPr>
            <w:r w:rsidRPr="005E0DE2">
              <w:rPr>
                <w:rFonts w:ascii="黑体" w:eastAsia="黑体" w:hAnsi="黑体" w:cs="宋体" w:hint="eastAsia"/>
                <w:color w:val="000000"/>
                <w:kern w:val="0"/>
                <w:sz w:val="24"/>
              </w:rPr>
              <w:t>（排名不分先后）</w:t>
            </w:r>
          </w:p>
        </w:tc>
      </w:tr>
      <w:tr w:rsidR="00B90001" w:rsidRPr="0057154D" w:rsidTr="00C83D76">
        <w:trPr>
          <w:trHeight w:val="100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90001" w:rsidRPr="0057154D" w:rsidRDefault="00B90001" w:rsidP="00C83D76">
            <w:pPr>
              <w:widowControl/>
              <w:jc w:val="center"/>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t>机构名称</w:t>
            </w:r>
          </w:p>
        </w:tc>
        <w:tc>
          <w:tcPr>
            <w:tcW w:w="202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center"/>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t>招商银行股份有限公司苏州分行</w:t>
            </w:r>
          </w:p>
        </w:tc>
        <w:tc>
          <w:tcPr>
            <w:tcW w:w="324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center"/>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t>中国银行股份有限公司</w:t>
            </w:r>
            <w:r w:rsidRPr="0057154D">
              <w:rPr>
                <w:rFonts w:ascii="仿宋_GB2312" w:eastAsia="仿宋_GB2312" w:hAnsi="宋体" w:cs="宋体" w:hint="eastAsia"/>
                <w:b/>
                <w:bCs/>
                <w:color w:val="000000"/>
                <w:kern w:val="0"/>
                <w:sz w:val="24"/>
              </w:rPr>
              <w:br/>
              <w:t>苏州工业园区分行</w:t>
            </w:r>
          </w:p>
        </w:tc>
        <w:tc>
          <w:tcPr>
            <w:tcW w:w="398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center"/>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t>中国工商银行股份有限公司</w:t>
            </w:r>
            <w:r w:rsidRPr="0057154D">
              <w:rPr>
                <w:rFonts w:ascii="仿宋_GB2312" w:eastAsia="仿宋_GB2312" w:hAnsi="宋体" w:cs="宋体" w:hint="eastAsia"/>
                <w:b/>
                <w:bCs/>
                <w:color w:val="000000"/>
                <w:kern w:val="0"/>
                <w:sz w:val="24"/>
              </w:rPr>
              <w:br/>
              <w:t>苏州工业园区支行</w:t>
            </w:r>
          </w:p>
        </w:tc>
        <w:tc>
          <w:tcPr>
            <w:tcW w:w="360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center"/>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t>宁波银行股份有限公司</w:t>
            </w:r>
            <w:r w:rsidRPr="0057154D">
              <w:rPr>
                <w:rFonts w:ascii="仿宋_GB2312" w:eastAsia="仿宋_GB2312" w:hAnsi="宋体" w:cs="宋体" w:hint="eastAsia"/>
                <w:b/>
                <w:bCs/>
                <w:color w:val="000000"/>
                <w:kern w:val="0"/>
                <w:sz w:val="24"/>
              </w:rPr>
              <w:br/>
              <w:t>苏州分行</w:t>
            </w:r>
          </w:p>
        </w:tc>
      </w:tr>
      <w:tr w:rsidR="00B90001" w:rsidRPr="0057154D" w:rsidTr="00C83D76">
        <w:trPr>
          <w:trHeight w:val="463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t>准入条件</w:t>
            </w:r>
          </w:p>
        </w:tc>
        <w:tc>
          <w:tcPr>
            <w:tcW w:w="202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园区注册、且政府采购中标（成交）的企业，可通过政府采购网进行查询，并提交中标（成交）通知书及政府采购合同</w:t>
            </w:r>
          </w:p>
        </w:tc>
        <w:tc>
          <w:tcPr>
            <w:tcW w:w="324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1、取得政府中标（成交）通知书及政府采购合同；</w:t>
            </w:r>
            <w:r w:rsidRPr="0057154D">
              <w:rPr>
                <w:rFonts w:ascii="仿宋_GB2312" w:eastAsia="仿宋_GB2312" w:hAnsi="宋体" w:cs="宋体" w:hint="eastAsia"/>
                <w:color w:val="000000"/>
                <w:kern w:val="0"/>
                <w:sz w:val="20"/>
                <w:szCs w:val="20"/>
              </w:rPr>
              <w:br/>
              <w:t>2、以往政府采购过程中合作记录良好，无延迟交货或退货等不良履约记录；如无以往合作记录，则需参照企业信用记录、信用评级等其他维度进行综合评价；</w:t>
            </w:r>
            <w:r w:rsidRPr="0057154D">
              <w:rPr>
                <w:rFonts w:ascii="仿宋_GB2312" w:eastAsia="仿宋_GB2312" w:hAnsi="宋体" w:cs="宋体" w:hint="eastAsia"/>
                <w:color w:val="000000"/>
                <w:kern w:val="0"/>
                <w:sz w:val="20"/>
                <w:szCs w:val="20"/>
              </w:rPr>
              <w:br/>
              <w:t>3、在苏州地区注册登记，依法合规经营，信用记录良好，且符合国家产业、行业、环保等相关政策。</w:t>
            </w:r>
          </w:p>
        </w:tc>
        <w:tc>
          <w:tcPr>
            <w:tcW w:w="398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kern w:val="0"/>
                <w:sz w:val="20"/>
                <w:szCs w:val="20"/>
              </w:rPr>
              <w:t>1、借款人成立时间1年以上，生产经营正常，具备相应的供货（服务）能力，与园区政府合作无违约记录；</w:t>
            </w:r>
            <w:r w:rsidRPr="0057154D">
              <w:rPr>
                <w:rFonts w:ascii="仿宋_GB2312" w:eastAsia="仿宋_GB2312" w:hAnsi="宋体" w:cs="宋体" w:hint="eastAsia"/>
                <w:kern w:val="0"/>
                <w:sz w:val="20"/>
                <w:szCs w:val="20"/>
              </w:rPr>
              <w:br/>
              <w:t>2、经营者从业经验丰富，企业经营良好，盈利能力强，无不良嗜好，以往没有发生因交易违约或被他人拖欠货款而涉及诉讼或贸易纠纷问题；</w:t>
            </w:r>
            <w:r w:rsidRPr="0057154D">
              <w:rPr>
                <w:rFonts w:ascii="仿宋_GB2312" w:eastAsia="仿宋_GB2312" w:hAnsi="宋体" w:cs="宋体" w:hint="eastAsia"/>
                <w:kern w:val="0"/>
                <w:sz w:val="20"/>
                <w:szCs w:val="20"/>
              </w:rPr>
              <w:br/>
              <w:t>3、依法合规通过政府集中采购招标平台参与投标工作并中标的供应商，纳入财政预算，且原则上通过财政直接支付应收账款；</w:t>
            </w:r>
            <w:r w:rsidRPr="0057154D">
              <w:rPr>
                <w:rFonts w:ascii="仿宋_GB2312" w:eastAsia="仿宋_GB2312" w:hAnsi="宋体" w:cs="宋体" w:hint="eastAsia"/>
                <w:kern w:val="0"/>
                <w:sz w:val="20"/>
                <w:szCs w:val="20"/>
              </w:rPr>
              <w:br/>
              <w:t>4、在我行开立基本存款账户或一般存款账户，并且承诺将我行对应融资的应收账款回笼至我行专户；</w:t>
            </w:r>
            <w:r w:rsidRPr="0057154D">
              <w:rPr>
                <w:rFonts w:ascii="仿宋_GB2312" w:eastAsia="仿宋_GB2312" w:hAnsi="宋体" w:cs="宋体" w:hint="eastAsia"/>
                <w:kern w:val="0"/>
                <w:sz w:val="20"/>
                <w:szCs w:val="20"/>
              </w:rPr>
              <w:br/>
              <w:t>5、在银行融资无不良信用记录；</w:t>
            </w:r>
            <w:r w:rsidRPr="0057154D">
              <w:rPr>
                <w:rFonts w:ascii="仿宋_GB2312" w:eastAsia="仿宋_GB2312" w:hAnsi="宋体" w:cs="宋体" w:hint="eastAsia"/>
                <w:kern w:val="0"/>
                <w:sz w:val="20"/>
                <w:szCs w:val="20"/>
              </w:rPr>
              <w:br/>
              <w:t>6、我行要求的其他条件。</w:t>
            </w:r>
          </w:p>
        </w:tc>
        <w:tc>
          <w:tcPr>
            <w:tcW w:w="360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1、持续经营两年（含）以上或实际经营者本行业从业年限不低于两年。</w:t>
            </w:r>
            <w:r w:rsidRPr="0057154D">
              <w:rPr>
                <w:rFonts w:ascii="仿宋_GB2312" w:eastAsia="仿宋_GB2312" w:hAnsi="宋体" w:cs="宋体" w:hint="eastAsia"/>
                <w:color w:val="000000"/>
                <w:kern w:val="0"/>
                <w:sz w:val="20"/>
                <w:szCs w:val="20"/>
              </w:rPr>
              <w:br/>
              <w:t>2、与政府合作一年（含）以上，无未按时履约或未通过验收等记录，并能提供至少一次与政府相关部门之间的履约及收款记录，未纳入政府采购黑名单。</w:t>
            </w:r>
            <w:r w:rsidRPr="0057154D">
              <w:rPr>
                <w:rFonts w:ascii="仿宋_GB2312" w:eastAsia="仿宋_GB2312" w:hAnsi="宋体" w:cs="宋体" w:hint="eastAsia"/>
                <w:color w:val="000000"/>
                <w:kern w:val="0"/>
                <w:sz w:val="20"/>
                <w:szCs w:val="20"/>
              </w:rPr>
              <w:br/>
              <w:t>3、企业经营良好，具备合同履约能力，以往没有发生因交易违约或被他人拖欠货款而涉及诉讼或贸易纠纷问题。</w:t>
            </w:r>
            <w:r w:rsidRPr="0057154D">
              <w:rPr>
                <w:rFonts w:ascii="仿宋_GB2312" w:eastAsia="仿宋_GB2312" w:hAnsi="宋体" w:cs="宋体" w:hint="eastAsia"/>
                <w:color w:val="000000"/>
                <w:kern w:val="0"/>
                <w:sz w:val="20"/>
                <w:szCs w:val="20"/>
              </w:rPr>
              <w:br/>
              <w:t>4、企业已获得政府采购中标通知书。</w:t>
            </w:r>
            <w:r w:rsidRPr="0057154D">
              <w:rPr>
                <w:rFonts w:ascii="仿宋_GB2312" w:eastAsia="仿宋_GB2312" w:hAnsi="宋体" w:cs="宋体" w:hint="eastAsia"/>
                <w:color w:val="000000"/>
                <w:kern w:val="0"/>
                <w:sz w:val="20"/>
                <w:szCs w:val="20"/>
              </w:rPr>
              <w:br/>
              <w:t>5、其他符合我行授信准入的条件。</w:t>
            </w:r>
          </w:p>
        </w:tc>
      </w:tr>
      <w:tr w:rsidR="00B90001" w:rsidRPr="0057154D" w:rsidTr="00C83D76">
        <w:trPr>
          <w:trHeight w:val="230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lastRenderedPageBreak/>
              <w:t>授信额度</w:t>
            </w:r>
          </w:p>
        </w:tc>
        <w:tc>
          <w:tcPr>
            <w:tcW w:w="202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bookmarkStart w:id="0" w:name="RANGE!B5"/>
            <w:r w:rsidRPr="0057154D">
              <w:rPr>
                <w:rFonts w:ascii="仿宋_GB2312" w:eastAsia="仿宋_GB2312" w:hAnsi="宋体" w:cs="宋体" w:hint="eastAsia"/>
                <w:color w:val="000000"/>
                <w:kern w:val="0"/>
                <w:sz w:val="20"/>
                <w:szCs w:val="20"/>
              </w:rPr>
              <w:t>最高不超过3000万元</w:t>
            </w:r>
            <w:bookmarkEnd w:id="0"/>
          </w:p>
        </w:tc>
        <w:tc>
          <w:tcPr>
            <w:tcW w:w="324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根据借款人提交的已签订的中标（成交）通知书及政府采购合同，申请对应政府采购项下融资，我行针对该笔采购项目采用单笔融资以确定授信额度。单个采购项目下的授信额度原则上不超过已签订采购合同总金额的70%。</w:t>
            </w:r>
          </w:p>
        </w:tc>
        <w:tc>
          <w:tcPr>
            <w:tcW w:w="398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融资金额一般为中标通知书或中标合同金额*70%。</w:t>
            </w:r>
          </w:p>
        </w:tc>
        <w:tc>
          <w:tcPr>
            <w:tcW w:w="360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根据借款人实际资金需求测算合理确定融资金额，融资金额单笔不超过政府采购合同的70%，原则上单户敞口最高不超过2000万元，具体金额以授信审批通过为准。业务品种包含流动资金贷款、银行承兑汇票、信用证、保函等各类本外币授信产品。</w:t>
            </w:r>
          </w:p>
        </w:tc>
      </w:tr>
      <w:tr w:rsidR="00B90001" w:rsidRPr="0057154D" w:rsidTr="00C83D76">
        <w:trPr>
          <w:trHeight w:val="198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t>授信期限</w:t>
            </w:r>
          </w:p>
        </w:tc>
        <w:tc>
          <w:tcPr>
            <w:tcW w:w="202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非工程类最长不超过一年期；</w:t>
            </w:r>
            <w:r w:rsidRPr="0057154D">
              <w:rPr>
                <w:rFonts w:ascii="仿宋_GB2312" w:eastAsia="仿宋_GB2312" w:hAnsi="宋体" w:cs="宋体" w:hint="eastAsia"/>
                <w:color w:val="000000"/>
                <w:kern w:val="0"/>
                <w:sz w:val="20"/>
                <w:szCs w:val="20"/>
              </w:rPr>
              <w:br/>
              <w:t>工程类最长不超过三年期</w:t>
            </w:r>
          </w:p>
        </w:tc>
        <w:tc>
          <w:tcPr>
            <w:tcW w:w="324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最长不超过3年</w:t>
            </w:r>
          </w:p>
        </w:tc>
        <w:tc>
          <w:tcPr>
            <w:tcW w:w="398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根据中标通知书或中标合同约定的付款期限合理确定。对货物采购、提供劳务服务的，借据期限一般不超过1年；对中标合同期限超过一年的工程建设服务可按照我行现有项目类融资或中长期融资相关管理办法合理确定融资期限。</w:t>
            </w:r>
          </w:p>
        </w:tc>
        <w:tc>
          <w:tcPr>
            <w:tcW w:w="360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根据备货期加付款期进行合理测算，最长不超过1年。</w:t>
            </w:r>
          </w:p>
        </w:tc>
      </w:tr>
      <w:tr w:rsidR="00B90001" w:rsidRPr="0057154D" w:rsidTr="00C83D76">
        <w:trPr>
          <w:trHeight w:val="197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t>贷款利率</w:t>
            </w:r>
          </w:p>
        </w:tc>
        <w:tc>
          <w:tcPr>
            <w:tcW w:w="202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4.35%-5.655%</w:t>
            </w:r>
          </w:p>
        </w:tc>
        <w:tc>
          <w:tcPr>
            <w:tcW w:w="324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不超过人行同期基准利率上浮5%</w:t>
            </w:r>
          </w:p>
        </w:tc>
        <w:tc>
          <w:tcPr>
            <w:tcW w:w="398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对于供应商为普惠金融类客户（我行融资额1000万元（含）以内），融资利率执行人民银行同档次基准利率上浮15%（含）；非普惠金融类客户（我行融资额超过1000万元），融资利率不低于人民银行同档次基准利率上浮25%（含）。</w:t>
            </w:r>
          </w:p>
        </w:tc>
        <w:tc>
          <w:tcPr>
            <w:tcW w:w="360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不超过基准上浮30%</w:t>
            </w:r>
          </w:p>
        </w:tc>
      </w:tr>
      <w:tr w:rsidR="00B90001" w:rsidRPr="0057154D" w:rsidTr="00C83D76">
        <w:trPr>
          <w:trHeight w:val="255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lastRenderedPageBreak/>
              <w:t>承诺办理时限</w:t>
            </w:r>
          </w:p>
        </w:tc>
        <w:tc>
          <w:tcPr>
            <w:tcW w:w="202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信用资格预审申请审查时限2-3个工作日；</w:t>
            </w:r>
            <w:r w:rsidRPr="0057154D">
              <w:rPr>
                <w:rFonts w:ascii="仿宋_GB2312" w:eastAsia="仿宋_GB2312" w:hAnsi="宋体" w:cs="宋体" w:hint="eastAsia"/>
                <w:color w:val="000000"/>
                <w:kern w:val="0"/>
                <w:sz w:val="20"/>
                <w:szCs w:val="20"/>
              </w:rPr>
              <w:br/>
              <w:t>授信额度审批时限5-7个工作日；</w:t>
            </w:r>
            <w:r w:rsidRPr="0057154D">
              <w:rPr>
                <w:rFonts w:ascii="仿宋_GB2312" w:eastAsia="仿宋_GB2312" w:hAnsi="宋体" w:cs="宋体" w:hint="eastAsia"/>
                <w:color w:val="000000"/>
                <w:kern w:val="0"/>
                <w:sz w:val="20"/>
                <w:szCs w:val="20"/>
              </w:rPr>
              <w:br/>
              <w:t>放款时效2-3个工作日。</w:t>
            </w:r>
          </w:p>
        </w:tc>
        <w:tc>
          <w:tcPr>
            <w:tcW w:w="324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2B2B2B"/>
                <w:kern w:val="0"/>
                <w:sz w:val="20"/>
                <w:szCs w:val="20"/>
              </w:rPr>
            </w:pPr>
            <w:r w:rsidRPr="0057154D">
              <w:rPr>
                <w:rFonts w:ascii="仿宋_GB2312" w:eastAsia="仿宋_GB2312" w:hAnsi="宋体" w:cs="宋体" w:hint="eastAsia"/>
                <w:color w:val="2B2B2B"/>
                <w:kern w:val="0"/>
                <w:sz w:val="20"/>
                <w:szCs w:val="20"/>
              </w:rPr>
              <w:t>信用资格预审申请审查时限：资料齐全2个工作日;</w:t>
            </w:r>
            <w:r w:rsidRPr="0057154D">
              <w:rPr>
                <w:rFonts w:ascii="仿宋_GB2312" w:eastAsia="仿宋_GB2312" w:hAnsi="宋体" w:cs="宋体" w:hint="eastAsia"/>
                <w:color w:val="2B2B2B"/>
                <w:kern w:val="0"/>
                <w:sz w:val="20"/>
                <w:szCs w:val="20"/>
              </w:rPr>
              <w:br/>
              <w:t>信用审查、授信额度审批时限：资料齐全10个工作日;</w:t>
            </w:r>
            <w:r w:rsidRPr="0057154D">
              <w:rPr>
                <w:rFonts w:ascii="仿宋_GB2312" w:eastAsia="仿宋_GB2312" w:hAnsi="宋体" w:cs="宋体" w:hint="eastAsia"/>
                <w:color w:val="2B2B2B"/>
                <w:kern w:val="0"/>
                <w:sz w:val="20"/>
                <w:szCs w:val="20"/>
              </w:rPr>
              <w:br/>
              <w:t>融资申请审查时限：资料齐全3个工作日;</w:t>
            </w:r>
            <w:r w:rsidRPr="0057154D">
              <w:rPr>
                <w:rFonts w:ascii="仿宋_GB2312" w:eastAsia="仿宋_GB2312" w:hAnsi="宋体" w:cs="宋体" w:hint="eastAsia"/>
                <w:color w:val="2B2B2B"/>
                <w:kern w:val="0"/>
                <w:sz w:val="20"/>
                <w:szCs w:val="20"/>
              </w:rPr>
              <w:br/>
              <w:t>放款时限：资料齐全3个工作日。</w:t>
            </w:r>
          </w:p>
        </w:tc>
        <w:tc>
          <w:tcPr>
            <w:tcW w:w="3980" w:type="dxa"/>
            <w:tcBorders>
              <w:top w:val="nil"/>
              <w:left w:val="nil"/>
              <w:bottom w:val="single" w:sz="4" w:space="0" w:color="auto"/>
              <w:right w:val="single" w:sz="4" w:space="0" w:color="auto"/>
            </w:tcBorders>
            <w:shd w:val="clear" w:color="auto" w:fill="auto"/>
            <w:noWrap/>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材料齐全后，一周内放款。</w:t>
            </w:r>
          </w:p>
        </w:tc>
        <w:tc>
          <w:tcPr>
            <w:tcW w:w="360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1、信用资格预审申请审查时限：1个工作日；</w:t>
            </w:r>
            <w:r w:rsidRPr="0057154D">
              <w:rPr>
                <w:rFonts w:ascii="仿宋_GB2312" w:eastAsia="仿宋_GB2312" w:hAnsi="宋体" w:cs="宋体" w:hint="eastAsia"/>
                <w:color w:val="000000"/>
                <w:kern w:val="0"/>
                <w:sz w:val="20"/>
                <w:szCs w:val="20"/>
              </w:rPr>
              <w:br/>
              <w:t>2、信用审查、授信额度审批时限：七个工作日，包含融资申请审查；</w:t>
            </w:r>
            <w:r w:rsidRPr="0057154D">
              <w:rPr>
                <w:rFonts w:ascii="仿宋_GB2312" w:eastAsia="仿宋_GB2312" w:hAnsi="宋体" w:cs="宋体" w:hint="eastAsia"/>
                <w:color w:val="000000"/>
                <w:kern w:val="0"/>
                <w:sz w:val="20"/>
                <w:szCs w:val="20"/>
              </w:rPr>
              <w:br/>
              <w:t>3、融资申请审查时限：同上；</w:t>
            </w:r>
            <w:r w:rsidRPr="0057154D">
              <w:rPr>
                <w:rFonts w:ascii="仿宋_GB2312" w:eastAsia="仿宋_GB2312" w:hAnsi="宋体" w:cs="宋体" w:hint="eastAsia"/>
                <w:color w:val="000000"/>
                <w:kern w:val="0"/>
                <w:sz w:val="20"/>
                <w:szCs w:val="20"/>
              </w:rPr>
              <w:br/>
              <w:t>4、放款时限：资料齐全，2个工作日内处理完毕。</w:t>
            </w:r>
          </w:p>
        </w:tc>
      </w:tr>
      <w:tr w:rsidR="00B90001" w:rsidRPr="0057154D" w:rsidTr="00C83D76">
        <w:trPr>
          <w:trHeight w:val="94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t>联系方式</w:t>
            </w:r>
          </w:p>
        </w:tc>
        <w:tc>
          <w:tcPr>
            <w:tcW w:w="202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0512-69869521</w:t>
            </w:r>
          </w:p>
        </w:tc>
        <w:tc>
          <w:tcPr>
            <w:tcW w:w="324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李斯斯，0512-62764701</w:t>
            </w:r>
            <w:r w:rsidRPr="0057154D">
              <w:rPr>
                <w:rFonts w:ascii="仿宋_GB2312" w:eastAsia="仿宋_GB2312" w:hAnsi="宋体" w:cs="宋体" w:hint="eastAsia"/>
                <w:color w:val="000000"/>
                <w:kern w:val="0"/>
                <w:sz w:val="20"/>
                <w:szCs w:val="20"/>
              </w:rPr>
              <w:br/>
              <w:t>朱锡红，0512-62536089</w:t>
            </w:r>
          </w:p>
        </w:tc>
        <w:tc>
          <w:tcPr>
            <w:tcW w:w="398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孙文超，15195625228</w:t>
            </w:r>
          </w:p>
        </w:tc>
        <w:tc>
          <w:tcPr>
            <w:tcW w:w="3600" w:type="dxa"/>
            <w:tcBorders>
              <w:top w:val="nil"/>
              <w:left w:val="nil"/>
              <w:bottom w:val="single" w:sz="4" w:space="0" w:color="auto"/>
              <w:right w:val="single" w:sz="4" w:space="0" w:color="auto"/>
            </w:tcBorders>
            <w:shd w:val="clear" w:color="auto" w:fill="auto"/>
            <w:noWrap/>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李琳，13862115386</w:t>
            </w:r>
          </w:p>
        </w:tc>
      </w:tr>
      <w:tr w:rsidR="00B90001" w:rsidRPr="0057154D" w:rsidTr="00C83D76">
        <w:trPr>
          <w:trHeight w:val="29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b/>
                <w:bCs/>
                <w:color w:val="000000"/>
                <w:kern w:val="0"/>
                <w:sz w:val="24"/>
              </w:rPr>
            </w:pPr>
            <w:r w:rsidRPr="0057154D">
              <w:rPr>
                <w:rFonts w:ascii="仿宋_GB2312" w:eastAsia="仿宋_GB2312" w:hAnsi="宋体" w:cs="宋体" w:hint="eastAsia"/>
                <w:b/>
                <w:bCs/>
                <w:color w:val="000000"/>
                <w:kern w:val="0"/>
                <w:sz w:val="24"/>
              </w:rPr>
              <w:t>办理的其他要求</w:t>
            </w:r>
          </w:p>
        </w:tc>
        <w:tc>
          <w:tcPr>
            <w:tcW w:w="202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贷款资金仅限用于借款人履行《政府采购合同》所需的生产经营周转资金，符合银监会“三个办法一个指引”等监管要求及我行相关管理规定。</w:t>
            </w:r>
          </w:p>
        </w:tc>
        <w:tc>
          <w:tcPr>
            <w:tcW w:w="3980" w:type="dxa"/>
            <w:tcBorders>
              <w:top w:val="nil"/>
              <w:left w:val="nil"/>
              <w:bottom w:val="single" w:sz="4" w:space="0" w:color="auto"/>
              <w:right w:val="single" w:sz="4" w:space="0" w:color="auto"/>
            </w:tcBorders>
            <w:shd w:val="clear" w:color="auto" w:fill="auto"/>
            <w:noWrap/>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B90001" w:rsidRPr="0057154D" w:rsidRDefault="00B90001" w:rsidP="00C83D76">
            <w:pPr>
              <w:widowControl/>
              <w:jc w:val="left"/>
              <w:rPr>
                <w:rFonts w:ascii="仿宋_GB2312" w:eastAsia="仿宋_GB2312" w:hAnsi="宋体" w:cs="宋体"/>
                <w:color w:val="000000"/>
                <w:kern w:val="0"/>
                <w:sz w:val="20"/>
                <w:szCs w:val="20"/>
              </w:rPr>
            </w:pPr>
            <w:r w:rsidRPr="0057154D">
              <w:rPr>
                <w:rFonts w:ascii="仿宋_GB2312" w:eastAsia="仿宋_GB2312" w:hAnsi="宋体" w:cs="宋体" w:hint="eastAsia"/>
                <w:color w:val="000000"/>
                <w:kern w:val="0"/>
                <w:sz w:val="20"/>
                <w:szCs w:val="20"/>
              </w:rPr>
              <w:t>1、借款人须在我行开立封闭式监管账户，并在政府采购合同中明确该账户为唯一回款账户。封闭式监管账户的管理参照《宁波银行结算账户监管业务管理规定》。</w:t>
            </w:r>
            <w:r w:rsidRPr="0057154D">
              <w:rPr>
                <w:rFonts w:ascii="仿宋_GB2312" w:eastAsia="仿宋_GB2312" w:hAnsi="宋体" w:cs="宋体" w:hint="eastAsia"/>
                <w:color w:val="000000"/>
                <w:kern w:val="0"/>
                <w:sz w:val="20"/>
                <w:szCs w:val="20"/>
              </w:rPr>
              <w:br/>
              <w:t>2、贷款用途须用于政府采购合同约定的相关商品、工程或服务相关支出。</w:t>
            </w:r>
            <w:r w:rsidRPr="0057154D">
              <w:rPr>
                <w:rFonts w:ascii="仿宋_GB2312" w:eastAsia="仿宋_GB2312" w:hAnsi="宋体" w:cs="宋体" w:hint="eastAsia"/>
                <w:color w:val="000000"/>
                <w:kern w:val="0"/>
                <w:sz w:val="20"/>
                <w:szCs w:val="20"/>
              </w:rPr>
              <w:br/>
              <w:t>3、单笔采购合同项下的授信申请须一次性提出。</w:t>
            </w:r>
          </w:p>
        </w:tc>
      </w:tr>
    </w:tbl>
    <w:p w:rsidR="00833BC7" w:rsidRPr="00B90001" w:rsidRDefault="00833BC7">
      <w:bookmarkStart w:id="1" w:name="_GoBack"/>
      <w:bookmarkEnd w:id="1"/>
    </w:p>
    <w:sectPr w:rsidR="00833BC7" w:rsidRPr="00B90001" w:rsidSect="00B9000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B9F" w:rsidRDefault="00227B9F" w:rsidP="00B90001">
      <w:r>
        <w:separator/>
      </w:r>
    </w:p>
  </w:endnote>
  <w:endnote w:type="continuationSeparator" w:id="0">
    <w:p w:rsidR="00227B9F" w:rsidRDefault="00227B9F" w:rsidP="00B9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B9F" w:rsidRDefault="00227B9F" w:rsidP="00B90001">
      <w:r>
        <w:separator/>
      </w:r>
    </w:p>
  </w:footnote>
  <w:footnote w:type="continuationSeparator" w:id="0">
    <w:p w:rsidR="00227B9F" w:rsidRDefault="00227B9F" w:rsidP="00B90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65"/>
    <w:rsid w:val="000E7265"/>
    <w:rsid w:val="00227B9F"/>
    <w:rsid w:val="00833BC7"/>
    <w:rsid w:val="00B90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DD523D-2510-4646-91AC-9F6EA843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0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0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0001"/>
    <w:rPr>
      <w:sz w:val="18"/>
      <w:szCs w:val="18"/>
    </w:rPr>
  </w:style>
  <w:style w:type="paragraph" w:styleId="a4">
    <w:name w:val="footer"/>
    <w:basedOn w:val="a"/>
    <w:link w:val="Char0"/>
    <w:uiPriority w:val="99"/>
    <w:unhideWhenUsed/>
    <w:rsid w:val="00B900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00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1601</Characters>
  <Application>Microsoft Office Word</Application>
  <DocSecurity>0</DocSecurity>
  <Lines>13</Lines>
  <Paragraphs>3</Paragraphs>
  <ScaleCrop>false</ScaleCrop>
  <Company>SIPAC</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计算机信息中心(网站运营)-顾雅芳</dc:creator>
  <cp:keywords/>
  <dc:description/>
  <cp:lastModifiedBy>计算机信息中心(网站运营)-顾雅芳</cp:lastModifiedBy>
  <cp:revision>2</cp:revision>
  <dcterms:created xsi:type="dcterms:W3CDTF">2019-12-25T03:49:00Z</dcterms:created>
  <dcterms:modified xsi:type="dcterms:W3CDTF">2019-12-25T03:50:00Z</dcterms:modified>
</cp:coreProperties>
</file>